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EFB3" w14:textId="77777777" w:rsidR="003521A2" w:rsidRDefault="00601713">
      <w:pPr>
        <w:tabs>
          <w:tab w:val="left" w:pos="4590"/>
        </w:tabs>
        <w:jc w:val="center"/>
        <w:rPr>
          <w:rFonts w:ascii="Times New Roman" w:hAnsi="Times New Roman" w:cs="Times New Roman"/>
          <w:b/>
          <w:bCs/>
          <w:sz w:val="32"/>
          <w:szCs w:val="32"/>
        </w:rPr>
      </w:pPr>
      <w:r>
        <w:rPr>
          <w:rFonts w:ascii="Times New Roman" w:hAnsi="Times New Roman" w:cs="Times New Roman"/>
          <w:b/>
          <w:bCs/>
          <w:sz w:val="32"/>
          <w:szCs w:val="32"/>
        </w:rPr>
        <w:t>Electrical Distribution System Power Characteristics</w:t>
      </w:r>
    </w:p>
    <w:p w14:paraId="4C9B83FD" w14:textId="77777777" w:rsidR="003521A2" w:rsidRDefault="00601713">
      <w:pPr>
        <w:jc w:val="center"/>
        <w:rPr>
          <w:rFonts w:ascii="Times New Roman" w:hAnsi="Times New Roman" w:cs="Times New Roman"/>
        </w:rPr>
      </w:pPr>
      <w:r>
        <w:rPr>
          <w:rFonts w:ascii="Times New Roman" w:hAnsi="Times New Roman" w:cs="Times New Roman"/>
        </w:rPr>
        <w:t>Norbert Doerry</w:t>
      </w:r>
    </w:p>
    <w:p w14:paraId="05235236" w14:textId="60041477" w:rsidR="003521A2" w:rsidRDefault="00601713">
      <w:pPr>
        <w:jc w:val="center"/>
        <w:rPr>
          <w:rFonts w:ascii="Times New Roman" w:hAnsi="Times New Roman" w:cs="Times New Roman"/>
        </w:rPr>
      </w:pPr>
      <w:r>
        <w:rPr>
          <w:rFonts w:ascii="Times New Roman" w:hAnsi="Times New Roman" w:cs="Times New Roman"/>
        </w:rPr>
        <w:t>September 2</w:t>
      </w:r>
      <w:r w:rsidR="0060216D">
        <w:rPr>
          <w:rFonts w:ascii="Times New Roman" w:hAnsi="Times New Roman" w:cs="Times New Roman"/>
        </w:rPr>
        <w:t>3</w:t>
      </w:r>
      <w:r>
        <w:rPr>
          <w:rFonts w:ascii="Times New Roman" w:hAnsi="Times New Roman" w:cs="Times New Roman"/>
        </w:rPr>
        <w:t>, 2026</w:t>
      </w:r>
    </w:p>
    <w:p w14:paraId="3715982A" w14:textId="77777777" w:rsidR="003521A2" w:rsidRDefault="00601713">
      <w:pPr>
        <w:pStyle w:val="ListParagraph"/>
        <w:numPr>
          <w:ilvl w:val="0"/>
          <w:numId w:val="1"/>
        </w:numPr>
        <w:contextualSpacing w:val="0"/>
        <w:rPr>
          <w:rFonts w:ascii="Times New Roman" w:hAnsi="Times New Roman" w:cs="Times New Roman"/>
        </w:rPr>
      </w:pPr>
      <w:r>
        <w:rPr>
          <w:rFonts w:ascii="Times New Roman" w:hAnsi="Times New Roman" w:cs="Times New Roman"/>
        </w:rPr>
        <w:t>Introduction</w:t>
      </w:r>
    </w:p>
    <w:p w14:paraId="527B6616"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With the exception of uncrewed ships, shipboard electrical power systems enable ships to provide services and a suitable environment for crew and passengers, power some or all of the ship’s steering, maneuvering and propulsion systems, and power equipment necessary for the ship to accomplish its missions. In ships employing an integrated power system (IPS), the same electrical power system is used for all ship service loads (also known as “hotel loads”) as well as for propulsion motors. In mechanical drive ships, propulsion is provided by dedicated prime movers, typically medium-speed diesel engines or gas turbines. The electrical power system provides power to the ship service loads including electrically powered propulsion auxiliaries.</w:t>
      </w:r>
    </w:p>
    <w:p w14:paraId="63084A3C"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While shipboard power systems adhere to the same laws of physics as any other power system, their unique environment results in characteristics that differ from the usual terrestrial power system and are similar to those of islanded micro-grids. Doerry (2015) lists the following characteristics of naval power systems (power systems found on warships); these characteristics are generally consistent with those of commercial ships as well:</w:t>
      </w:r>
    </w:p>
    <w:p w14:paraId="5014BD62"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Variable frequency: The frequency cannot be assumed constant onboard ship. The limited rotational inertia of the prime movers and generators allows for rapid accelerations and decelerations of the shaft and corresponding frequency fluctuations in response to load changes. Frequency fluctuations can be expected to last up to 2 s.</w:t>
      </w:r>
    </w:p>
    <w:p w14:paraId="46B22D6C"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Lack of time scale separation: For naval power systems, the principal time constants of controls, machine dynamics, and electric dynamics all fall within the same general range of milliseconds to seconds. The practice of decomposing the problem by time scale separation often used in analyzing commercial power systems becomes much more difficult.</w:t>
      </w:r>
    </w:p>
    <w:p w14:paraId="3C855363"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Load sharing instead of power scheduling: The commercial power utilities operate by scheduling the power delivered by each of the generating units. The mismatch between scheduled power generation and the actual load is met by equipment acting as a swing generator. Onboard ship however, both real and reactive power are shared equally among all paralleled generators through the very fast exchange of load sharing information. This fast exchange of information strongly couples the dynamics of all the paralleled generators.</w:t>
      </w:r>
    </w:p>
    <w:p w14:paraId="61DCDDEC"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xml:space="preserve">• Short electrical distances: The distances onboard ship are so short (typically under 350 m) as to make the modeling of transmission lines unnecessary for many applications and </w:t>
      </w:r>
      <w:r>
        <w:rPr>
          <w:rFonts w:ascii="Times New Roman" w:hAnsi="Times New Roman" w:cs="Times New Roman"/>
        </w:rPr>
        <w:lastRenderedPageBreak/>
        <w:t>to trivialize the load flow problem which is so important to the commercial power sector. The short electrical distances also strengthen the dynamic coupling of the various subsystems making up the electrical power system.</w:t>
      </w:r>
    </w:p>
    <w:p w14:paraId="713A8238"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Load dynamics: Commercial utilities usually assume loads are either consuming constant real and reactive power, or are constant impedances. Shipboard systems however, must account for dynamics of loads such as propulsion motors, large pumps, pulsed loads, propeller dynamics, and ship dynamics.</w:t>
      </w:r>
    </w:p>
    <w:p w14:paraId="6CA2963A"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Tighter control: Because a ship is relatively small, a higher level of centralized control can be exercised over the shipboard power system than can be exercised in the commercial power industry.</w:t>
      </w:r>
    </w:p>
    <w:p w14:paraId="346A20E3"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Ungrounded or high-impedance grounded systems: Naval power systems are designed to enable continued operation with a single line to ground fault.</w:t>
      </w:r>
    </w:p>
    <w:p w14:paraId="667C7B01" w14:textId="77777777" w:rsidR="003521A2" w:rsidRDefault="00601713">
      <w:pPr>
        <w:pStyle w:val="ListParagraph"/>
        <w:contextualSpacing w:val="0"/>
        <w:jc w:val="both"/>
        <w:rPr>
          <w:rFonts w:ascii="Times New Roman" w:hAnsi="Times New Roman" w:cs="Times New Roman"/>
        </w:rPr>
      </w:pPr>
      <w:r>
        <w:rPr>
          <w:rFonts w:ascii="Times New Roman" w:hAnsi="Times New Roman" w:cs="Times New Roman"/>
        </w:rPr>
        <w:t>• Physical Environment: Shipboard power system equipment must be able to operate in a pitching, and rolling ship. Vibration, humidity, salinity, and shock must all be accounted for in the design.”</w:t>
      </w:r>
    </w:p>
    <w:p w14:paraId="5087CDB3" w14:textId="001AACB9"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A shipboard power system can usually be decomposed into a number of interconnected “busses.”  Each bus is usually, but not always, a separately derived system with respect to the other busses.  In a separately derived system, a ground fault on one bus does change the relationship of the neutral voltage to ground of any other bus.  As described in IEEE</w:t>
      </w:r>
      <w:r w:rsidR="009623D6">
        <w:rPr>
          <w:rFonts w:ascii="Times New Roman" w:hAnsi="Times New Roman" w:cs="Times New Roman"/>
        </w:rPr>
        <w:t> </w:t>
      </w:r>
      <w:r>
        <w:rPr>
          <w:rFonts w:ascii="Times New Roman" w:hAnsi="Times New Roman" w:cs="Times New Roman"/>
        </w:rPr>
        <w:t>Std.</w:t>
      </w:r>
      <w:r w:rsidR="009623D6">
        <w:rPr>
          <w:rFonts w:ascii="Times New Roman" w:hAnsi="Times New Roman" w:cs="Times New Roman"/>
        </w:rPr>
        <w:t> </w:t>
      </w:r>
      <w:r>
        <w:rPr>
          <w:rFonts w:ascii="Times New Roman" w:hAnsi="Times New Roman" w:cs="Times New Roman"/>
        </w:rPr>
        <w:t>45.1, shipboard busses can generally be classified into one of the following types:</w:t>
      </w:r>
    </w:p>
    <w:p w14:paraId="04EB1AEE" w14:textId="77777777" w:rsidR="003521A2" w:rsidRDefault="00601713">
      <w:pPr>
        <w:pStyle w:val="ListParagraph"/>
        <w:numPr>
          <w:ilvl w:val="0"/>
          <w:numId w:val="3"/>
        </w:numPr>
        <w:contextualSpacing w:val="0"/>
        <w:jc w:val="both"/>
        <w:rPr>
          <w:rFonts w:ascii="Times New Roman" w:hAnsi="Times New Roman" w:cs="Times New Roman"/>
        </w:rPr>
      </w:pPr>
      <w:r>
        <w:rPr>
          <w:rFonts w:ascii="Times New Roman" w:hAnsi="Times New Roman" w:cs="Times New Roman"/>
        </w:rPr>
        <w:t>Primary bus</w:t>
      </w:r>
    </w:p>
    <w:p w14:paraId="4A74DA34" w14:textId="77777777" w:rsidR="003521A2" w:rsidRDefault="00601713">
      <w:pPr>
        <w:pStyle w:val="ListParagraph"/>
        <w:numPr>
          <w:ilvl w:val="0"/>
          <w:numId w:val="3"/>
        </w:numPr>
        <w:contextualSpacing w:val="0"/>
        <w:jc w:val="both"/>
        <w:rPr>
          <w:rFonts w:ascii="Times New Roman" w:hAnsi="Times New Roman" w:cs="Times New Roman"/>
        </w:rPr>
      </w:pPr>
      <w:r>
        <w:rPr>
          <w:rFonts w:ascii="Times New Roman" w:hAnsi="Times New Roman" w:cs="Times New Roman"/>
        </w:rPr>
        <w:t>Distribution bus</w:t>
      </w:r>
    </w:p>
    <w:p w14:paraId="7FE3CA23" w14:textId="77777777" w:rsidR="003521A2" w:rsidRDefault="00601713">
      <w:pPr>
        <w:pStyle w:val="ListParagraph"/>
        <w:numPr>
          <w:ilvl w:val="0"/>
          <w:numId w:val="3"/>
        </w:numPr>
        <w:contextualSpacing w:val="0"/>
        <w:jc w:val="both"/>
        <w:rPr>
          <w:rFonts w:ascii="Times New Roman" w:hAnsi="Times New Roman" w:cs="Times New Roman"/>
        </w:rPr>
      </w:pPr>
      <w:r>
        <w:rPr>
          <w:rFonts w:ascii="Times New Roman" w:hAnsi="Times New Roman" w:cs="Times New Roman"/>
        </w:rPr>
        <w:t>Secondary bus</w:t>
      </w:r>
    </w:p>
    <w:p w14:paraId="60CEAB55" w14:textId="77777777" w:rsidR="003521A2" w:rsidRDefault="00601713">
      <w:pPr>
        <w:pStyle w:val="ListParagraph"/>
        <w:numPr>
          <w:ilvl w:val="0"/>
          <w:numId w:val="3"/>
        </w:numPr>
        <w:contextualSpacing w:val="0"/>
        <w:jc w:val="both"/>
        <w:rPr>
          <w:rFonts w:ascii="Times New Roman" w:hAnsi="Times New Roman" w:cs="Times New Roman"/>
        </w:rPr>
      </w:pPr>
      <w:r>
        <w:rPr>
          <w:rFonts w:ascii="Times New Roman" w:hAnsi="Times New Roman" w:cs="Times New Roman"/>
        </w:rPr>
        <w:t>Special bus</w:t>
      </w:r>
    </w:p>
    <w:p w14:paraId="738FB737"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 xml:space="preserve">Power quality refers primarily to the characteristics of the voltage waveforms at the interface between loads and the power system that the power system is designed to achieve assuming loads adhere to requirements for characteristics of the current waveforms at the interface.  </w:t>
      </w:r>
    </w:p>
    <w:p w14:paraId="6B74A2ED"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Quality of Service (QOS) is a metric of the reliability of the power system in providing power of the requisite quality from the perspective of the load.  QOS is a useful concept for ensuring loads are provided with sufficiently reliable power at minimum cost.</w:t>
      </w:r>
    </w:p>
    <w:p w14:paraId="749B584E" w14:textId="77777777" w:rsidR="003521A2" w:rsidRDefault="00601713">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lastRenderedPageBreak/>
        <w:t>Bus Types</w:t>
      </w:r>
    </w:p>
    <w:p w14:paraId="06978C12" w14:textId="77777777" w:rsidR="003521A2" w:rsidRDefault="00601713">
      <w:pPr>
        <w:pStyle w:val="ListParagraph"/>
        <w:keepNext/>
        <w:numPr>
          <w:ilvl w:val="1"/>
          <w:numId w:val="1"/>
        </w:numPr>
        <w:spacing w:before="240"/>
        <w:contextualSpacing w:val="0"/>
      </w:pPr>
      <w:r>
        <w:rPr>
          <w:rFonts w:ascii="Times New Roman" w:hAnsi="Times New Roman" w:cs="Times New Roman"/>
        </w:rPr>
        <w:t>Primary bus</w:t>
      </w:r>
    </w:p>
    <w:p w14:paraId="7EE53905" w14:textId="77777777" w:rsidR="003521A2" w:rsidRDefault="00601713">
      <w:pPr>
        <w:pStyle w:val="ListParagraph"/>
        <w:keepNext/>
        <w:ind w:left="360"/>
        <w:contextualSpacing w:val="0"/>
        <w:jc w:val="both"/>
        <w:rPr>
          <w:rFonts w:ascii="Times New Roman" w:hAnsi="Times New Roman" w:cs="Times New Roman"/>
        </w:rPr>
      </w:pPr>
      <w:r>
        <w:rPr>
          <w:rFonts w:ascii="Times New Roman" w:hAnsi="Times New Roman" w:cs="Times New Roman"/>
        </w:rPr>
        <w:t>As defined by IEEE Std. 45.1:</w:t>
      </w:r>
    </w:p>
    <w:p w14:paraId="3AC974A5" w14:textId="77777777" w:rsidR="003521A2" w:rsidRDefault="00601713">
      <w:pPr>
        <w:pStyle w:val="ListParagraph"/>
        <w:ind w:right="269"/>
        <w:contextualSpacing w:val="0"/>
        <w:jc w:val="both"/>
        <w:rPr>
          <w:rFonts w:ascii="Times New Roman" w:hAnsi="Times New Roman" w:cs="Times New Roman"/>
        </w:rPr>
      </w:pPr>
      <w:r>
        <w:rPr>
          <w:rFonts w:ascii="Times New Roman" w:hAnsi="Times New Roman" w:cs="Times New Roman"/>
        </w:rPr>
        <w:t>“A primary bus is a term reserved for an ac or dc bus with a nominal system voltage greater than 1000 V and applies only to vessels with a primary bus. A primary bus may be implemented as multiple buses for redundancy, criticality, or safety. A primary bus usually is only directly connected to a few large loads; the majority of the loads are powered from other buses that connect to the primary bus via power conversion equipment (e.g., transformers, solid-state power converters).”</w:t>
      </w:r>
    </w:p>
    <w:p w14:paraId="5D8CB349"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Often, ships with a primary bus employ an integrated power system with electric propulsion or hybrid-electric propulsion.  If a medium voltage shore power connection is anticipated, then either 6.6 kV or 11 kV ac power at 60 Hz. should be employed to simplify conformance with IEC/ISO/IEEE 80005-1.  Otherwise, standard ac nominal system voltages are defined as: 3.3 kV, 4.16 kV, 6.6 kV, 11 kV, and 13.8 kV.  Standard dc nominal system voltages are defined as 1.5 kV, 3 kV, 6 kV, 12 kV, 18 kV, 24 kV, and 30 kV.</w:t>
      </w:r>
    </w:p>
    <w:p w14:paraId="79C6CD16" w14:textId="0F9DD7DA"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The U.S. Navy has defined standard ac nominal system voltages of 4.16 kV, 6.6 kV and 13.8</w:t>
      </w:r>
      <w:r w:rsidR="009623D6">
        <w:rPr>
          <w:rFonts w:ascii="Times New Roman" w:hAnsi="Times New Roman" w:cs="Times New Roman"/>
        </w:rPr>
        <w:t> </w:t>
      </w:r>
      <w:r>
        <w:rPr>
          <w:rFonts w:ascii="Times New Roman" w:hAnsi="Times New Roman" w:cs="Times New Roman"/>
        </w:rPr>
        <w:t>kV at 60 Hz in MIL-STD-1399-300-2.</w:t>
      </w:r>
    </w:p>
    <w:p w14:paraId="5AB6AF77" w14:textId="77777777"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Distribution bus</w:t>
      </w:r>
    </w:p>
    <w:p w14:paraId="2D76466B" w14:textId="77777777" w:rsidR="003521A2" w:rsidRDefault="00601713">
      <w:pPr>
        <w:pStyle w:val="ListParagraph"/>
        <w:keepNext/>
        <w:ind w:left="360"/>
        <w:contextualSpacing w:val="0"/>
        <w:jc w:val="both"/>
        <w:rPr>
          <w:rFonts w:ascii="Times New Roman" w:hAnsi="Times New Roman" w:cs="Times New Roman"/>
        </w:rPr>
      </w:pPr>
      <w:r>
        <w:rPr>
          <w:rFonts w:ascii="Times New Roman" w:hAnsi="Times New Roman" w:cs="Times New Roman"/>
        </w:rPr>
        <w:t>As defined by IEEE Std. 45.1:</w:t>
      </w:r>
    </w:p>
    <w:p w14:paraId="2D7836B6" w14:textId="77777777" w:rsidR="003521A2" w:rsidRDefault="00601713">
      <w:pPr>
        <w:pStyle w:val="ListParagraph"/>
        <w:ind w:right="360"/>
        <w:contextualSpacing w:val="0"/>
        <w:jc w:val="both"/>
        <w:rPr>
          <w:rFonts w:ascii="Times New Roman" w:hAnsi="Times New Roman" w:cs="Times New Roman"/>
        </w:rPr>
      </w:pPr>
      <w:r>
        <w:rPr>
          <w:rFonts w:ascii="Times New Roman" w:hAnsi="Times New Roman" w:cs="Times New Roman"/>
        </w:rPr>
        <w:t>“A distribution bus provides power to loads throughout a ship or a zone. Multiple distribution buses may be utilized as necessary for the vessel design. Distribution buses typically support nominal system voltages between 400 V and 1000 V.”</w:t>
      </w:r>
    </w:p>
    <w:p w14:paraId="77D7B4A9" w14:textId="522F683E"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Standard ac nominal system voltages are defined as: 400 V, 450 V, 480 V, 600 V, and 690 V.  Standard dc nominal system voltages are defined as 600 V, 650 V, 700 V, 750 V, and 1000 V.  The U.S. Navy has also defined its standard nominal user voltage to be 440 V in MIL</w:t>
      </w:r>
      <w:r w:rsidR="009623D6">
        <w:rPr>
          <w:rFonts w:ascii="Times New Roman" w:hAnsi="Times New Roman" w:cs="Times New Roman"/>
        </w:rPr>
        <w:noBreakHyphen/>
      </w:r>
      <w:r>
        <w:rPr>
          <w:rFonts w:ascii="Times New Roman" w:hAnsi="Times New Roman" w:cs="Times New Roman"/>
        </w:rPr>
        <w:t>STD</w:t>
      </w:r>
      <w:r w:rsidR="009623D6">
        <w:rPr>
          <w:rFonts w:ascii="Times New Roman" w:hAnsi="Times New Roman" w:cs="Times New Roman"/>
        </w:rPr>
        <w:noBreakHyphen/>
      </w:r>
      <w:r>
        <w:rPr>
          <w:rFonts w:ascii="Times New Roman" w:hAnsi="Times New Roman" w:cs="Times New Roman"/>
        </w:rPr>
        <w:t>1399-300-1 and it</w:t>
      </w:r>
      <w:r w:rsidR="009623D6">
        <w:rPr>
          <w:rFonts w:ascii="Times New Roman" w:hAnsi="Times New Roman" w:cs="Times New Roman"/>
        </w:rPr>
        <w:t>s</w:t>
      </w:r>
      <w:r>
        <w:rPr>
          <w:rFonts w:ascii="Times New Roman" w:hAnsi="Times New Roman" w:cs="Times New Roman"/>
        </w:rPr>
        <w:t xml:space="preserve"> standard dc nominal system voltage to be 850 V in MIL</w:t>
      </w:r>
      <w:r w:rsidR="009623D6">
        <w:rPr>
          <w:rFonts w:ascii="Times New Roman" w:hAnsi="Times New Roman" w:cs="Times New Roman"/>
        </w:rPr>
        <w:noBreakHyphen/>
      </w:r>
      <w:r>
        <w:rPr>
          <w:rFonts w:ascii="Times New Roman" w:hAnsi="Times New Roman" w:cs="Times New Roman"/>
        </w:rPr>
        <w:t>STD</w:t>
      </w:r>
      <w:r w:rsidR="009623D6">
        <w:rPr>
          <w:rFonts w:ascii="Times New Roman" w:hAnsi="Times New Roman" w:cs="Times New Roman"/>
        </w:rPr>
        <w:noBreakHyphen/>
      </w:r>
      <w:r>
        <w:rPr>
          <w:rFonts w:ascii="Times New Roman" w:hAnsi="Times New Roman" w:cs="Times New Roman"/>
        </w:rPr>
        <w:t>1399-300-3.</w:t>
      </w:r>
    </w:p>
    <w:p w14:paraId="293AC1B7" w14:textId="77777777" w:rsidR="003521A2" w:rsidRDefault="00601713">
      <w:pPr>
        <w:pStyle w:val="ListParagraph"/>
        <w:keepNext/>
        <w:numPr>
          <w:ilvl w:val="1"/>
          <w:numId w:val="1"/>
        </w:numPr>
        <w:spacing w:before="480"/>
        <w:contextualSpacing w:val="0"/>
        <w:rPr>
          <w:rFonts w:ascii="Times New Roman" w:hAnsi="Times New Roman" w:cs="Times New Roman"/>
        </w:rPr>
      </w:pPr>
      <w:r>
        <w:rPr>
          <w:rFonts w:ascii="Times New Roman" w:hAnsi="Times New Roman" w:cs="Times New Roman"/>
        </w:rPr>
        <w:t>Secondary bus</w:t>
      </w:r>
    </w:p>
    <w:p w14:paraId="4E2648F2" w14:textId="77777777" w:rsidR="003521A2" w:rsidRDefault="00601713">
      <w:pPr>
        <w:pStyle w:val="ListParagraph"/>
        <w:keepNext/>
        <w:ind w:left="360"/>
        <w:contextualSpacing w:val="0"/>
        <w:jc w:val="both"/>
        <w:rPr>
          <w:rFonts w:ascii="Times New Roman" w:hAnsi="Times New Roman" w:cs="Times New Roman"/>
        </w:rPr>
      </w:pPr>
      <w:r>
        <w:rPr>
          <w:rFonts w:ascii="Times New Roman" w:hAnsi="Times New Roman" w:cs="Times New Roman"/>
        </w:rPr>
        <w:t>As defined by IEEE Std. 45.1:</w:t>
      </w:r>
    </w:p>
    <w:p w14:paraId="2DC93FFC" w14:textId="77777777" w:rsidR="003521A2" w:rsidRDefault="00601713">
      <w:pPr>
        <w:spacing w:before="240"/>
        <w:ind w:left="720" w:right="360"/>
        <w:jc w:val="both"/>
        <w:rPr>
          <w:rFonts w:ascii="Times New Roman" w:hAnsi="Times New Roman" w:cs="Times New Roman"/>
        </w:rPr>
      </w:pPr>
      <w:r>
        <w:rPr>
          <w:rFonts w:ascii="Times New Roman" w:hAnsi="Times New Roman" w:cs="Times New Roman"/>
        </w:rPr>
        <w:t>“A secondary bus provides electrical power with a nominal system voltage typically no greater than 400 V directly to equipment, appliances, or appliance outlets.”</w:t>
      </w:r>
    </w:p>
    <w:p w14:paraId="1CA878BF" w14:textId="77777777"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lastRenderedPageBreak/>
        <w:t xml:space="preserve">Standard ac nominal system voltages are defined as: 120 V, 208 V, 230 V, 240 V, and 400 V. Standard dc nominal system voltages are defined as 110 V, 220 V, and 375 V. </w:t>
      </w:r>
    </w:p>
    <w:p w14:paraId="062CF4D5" w14:textId="38A1C734" w:rsidR="003521A2" w:rsidRDefault="00601713">
      <w:pPr>
        <w:pStyle w:val="ListParagraph"/>
        <w:ind w:left="360"/>
        <w:contextualSpacing w:val="0"/>
        <w:jc w:val="both"/>
        <w:rPr>
          <w:rFonts w:ascii="Times New Roman" w:hAnsi="Times New Roman" w:cs="Times New Roman"/>
        </w:rPr>
      </w:pPr>
      <w:r>
        <w:rPr>
          <w:rFonts w:ascii="Times New Roman" w:hAnsi="Times New Roman" w:cs="Times New Roman"/>
        </w:rPr>
        <w:t>The U.S. Navy has defined its standard nominal user voltages to be 115 V and 200 V in MIL</w:t>
      </w:r>
      <w:r w:rsidR="009623D6">
        <w:rPr>
          <w:rFonts w:ascii="Times New Roman" w:hAnsi="Times New Roman" w:cs="Times New Roman"/>
        </w:rPr>
        <w:noBreakHyphen/>
      </w:r>
      <w:r>
        <w:rPr>
          <w:rFonts w:ascii="Times New Roman" w:hAnsi="Times New Roman" w:cs="Times New Roman"/>
        </w:rPr>
        <w:t>STD-1399-300-1</w:t>
      </w:r>
      <w:r w:rsidR="009623D6">
        <w:rPr>
          <w:rFonts w:ascii="Times New Roman" w:hAnsi="Times New Roman" w:cs="Times New Roman"/>
        </w:rPr>
        <w:t>.</w:t>
      </w:r>
    </w:p>
    <w:p w14:paraId="05B940C3" w14:textId="77777777" w:rsidR="003521A2" w:rsidRDefault="00601713">
      <w:pPr>
        <w:pStyle w:val="ListParagraph"/>
        <w:keepNext/>
        <w:numPr>
          <w:ilvl w:val="1"/>
          <w:numId w:val="1"/>
        </w:numPr>
        <w:spacing w:before="480"/>
        <w:contextualSpacing w:val="0"/>
        <w:rPr>
          <w:rFonts w:ascii="Times New Roman" w:hAnsi="Times New Roman" w:cs="Times New Roman"/>
        </w:rPr>
      </w:pPr>
      <w:r>
        <w:rPr>
          <w:rFonts w:ascii="Times New Roman" w:hAnsi="Times New Roman" w:cs="Times New Roman"/>
        </w:rPr>
        <w:t>Special bus</w:t>
      </w:r>
    </w:p>
    <w:p w14:paraId="2EF620DA" w14:textId="77777777" w:rsidR="003521A2" w:rsidRDefault="00601713">
      <w:pPr>
        <w:pStyle w:val="ListParagraph"/>
        <w:keepNext/>
        <w:ind w:left="360"/>
        <w:contextualSpacing w:val="0"/>
        <w:jc w:val="both"/>
        <w:rPr>
          <w:rFonts w:ascii="Times New Roman" w:hAnsi="Times New Roman" w:cs="Times New Roman"/>
        </w:rPr>
      </w:pPr>
      <w:r>
        <w:rPr>
          <w:rFonts w:ascii="Times New Roman" w:hAnsi="Times New Roman" w:cs="Times New Roman"/>
        </w:rPr>
        <w:t>As defined by IEEE Std. 45.1:</w:t>
      </w:r>
    </w:p>
    <w:p w14:paraId="335724E3" w14:textId="77777777" w:rsidR="003521A2" w:rsidRDefault="00601713">
      <w:pPr>
        <w:spacing w:before="240"/>
        <w:ind w:left="720" w:right="360"/>
        <w:jc w:val="both"/>
        <w:rPr>
          <w:rFonts w:ascii="Times New Roman" w:hAnsi="Times New Roman" w:cs="Times New Roman"/>
        </w:rPr>
      </w:pPr>
      <w:r>
        <w:rPr>
          <w:rFonts w:ascii="Times New Roman" w:hAnsi="Times New Roman" w:cs="Times New Roman"/>
        </w:rPr>
        <w:t>“A special bus provides power for unique purposes such as medical use, control system power, special control, or propulsion.”</w:t>
      </w:r>
    </w:p>
    <w:p w14:paraId="312EDC34" w14:textId="790431C8" w:rsidR="003521A2" w:rsidRDefault="00601713">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 xml:space="preserve"> Power Quality Requirements</w:t>
      </w:r>
    </w:p>
    <w:p w14:paraId="6DC27228" w14:textId="347C2DCF"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IEEE Std</w:t>
      </w:r>
      <w:r w:rsidR="0060216D">
        <w:rPr>
          <w:rFonts w:ascii="Times New Roman" w:hAnsi="Times New Roman" w:cs="Times New Roman"/>
        </w:rPr>
        <w:t>.</w:t>
      </w:r>
      <w:r>
        <w:rPr>
          <w:rFonts w:ascii="Times New Roman" w:hAnsi="Times New Roman" w:cs="Times New Roman"/>
        </w:rPr>
        <w:t xml:space="preserve"> 45.1</w:t>
      </w:r>
    </w:p>
    <w:p w14:paraId="557904E7" w14:textId="029D7DE3" w:rsidR="00475422" w:rsidRDefault="00475422" w:rsidP="0060216D">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_Ref240907758 \h  \* MERGEFORMAT </w:instrText>
      </w:r>
      <w:r>
        <w:rPr>
          <w:rFonts w:ascii="Times New Roman" w:hAnsi="Times New Roman" w:cs="Times New Roman"/>
        </w:rPr>
      </w:r>
      <w:r>
        <w:rPr>
          <w:rFonts w:ascii="Times New Roman" w:hAnsi="Times New Roman" w:cs="Times New Roman"/>
        </w:rPr>
        <w:fldChar w:fldCharType="separate"/>
      </w:r>
      <w:r w:rsidRPr="00475422">
        <w:rPr>
          <w:rFonts w:ascii="Times New Roman" w:hAnsi="Times New Roman" w:cs="Times New Roman"/>
        </w:rPr>
        <w:t>Table I</w:t>
      </w:r>
      <w:r>
        <w:rPr>
          <w:rFonts w:ascii="Times New Roman" w:hAnsi="Times New Roman" w:cs="Times New Roman"/>
        </w:rPr>
        <w:fldChar w:fldCharType="end"/>
      </w:r>
      <w:r>
        <w:rPr>
          <w:rFonts w:ascii="Times New Roman" w:hAnsi="Times New Roman" w:cs="Times New Roman"/>
        </w:rPr>
        <w:t xml:space="preserve"> depicts power quality requirements defined in IEEE Std</w:t>
      </w:r>
      <w:r w:rsidR="0060216D">
        <w:rPr>
          <w:rFonts w:ascii="Times New Roman" w:hAnsi="Times New Roman" w:cs="Times New Roman"/>
        </w:rPr>
        <w:t>.</w:t>
      </w:r>
      <w:r>
        <w:rPr>
          <w:rFonts w:ascii="Times New Roman" w:hAnsi="Times New Roman" w:cs="Times New Roman"/>
        </w:rPr>
        <w:t xml:space="preserve"> 45.1</w:t>
      </w:r>
      <w:r w:rsidR="009124DD">
        <w:rPr>
          <w:rFonts w:ascii="Times New Roman" w:hAnsi="Times New Roman" w:cs="Times New Roman"/>
        </w:rPr>
        <w:t xml:space="preserve"> for ac power</w:t>
      </w:r>
      <w:r>
        <w:rPr>
          <w:rFonts w:ascii="Times New Roman" w:hAnsi="Times New Roman" w:cs="Times New Roman"/>
        </w:rPr>
        <w:t>.  IEEE</w:t>
      </w:r>
      <w:r w:rsidR="0060216D">
        <w:rPr>
          <w:rFonts w:ascii="Times New Roman" w:hAnsi="Times New Roman" w:cs="Times New Roman"/>
        </w:rPr>
        <w:t> </w:t>
      </w:r>
      <w:r>
        <w:rPr>
          <w:rFonts w:ascii="Times New Roman" w:hAnsi="Times New Roman" w:cs="Times New Roman"/>
        </w:rPr>
        <w:t>Std</w:t>
      </w:r>
      <w:r w:rsidR="0060216D">
        <w:rPr>
          <w:rFonts w:ascii="Times New Roman" w:hAnsi="Times New Roman" w:cs="Times New Roman"/>
        </w:rPr>
        <w:t>.</w:t>
      </w:r>
      <w:r>
        <w:rPr>
          <w:rFonts w:ascii="Times New Roman" w:hAnsi="Times New Roman" w:cs="Times New Roman"/>
        </w:rPr>
        <w:t xml:space="preserve"> 45.1 also provides the following definitions:</w:t>
      </w:r>
    </w:p>
    <w:p w14:paraId="26B71FC9" w14:textId="1D5B63DF" w:rsidR="00475422" w:rsidRDefault="00475422" w:rsidP="00475422">
      <w:pPr>
        <w:spacing w:before="240"/>
        <w:ind w:left="720" w:right="360"/>
        <w:jc w:val="both"/>
        <w:rPr>
          <w:rFonts w:ascii="Times New Roman" w:hAnsi="Times New Roman" w:cs="Times New Roman"/>
        </w:rPr>
      </w:pPr>
      <w:r>
        <w:rPr>
          <w:rFonts w:ascii="Times New Roman" w:hAnsi="Times New Roman" w:cs="Times New Roman"/>
          <w:b/>
          <w:bCs/>
        </w:rPr>
        <w:t>“</w:t>
      </w:r>
      <w:proofErr w:type="gramStart"/>
      <w:r w:rsidRPr="00475422">
        <w:rPr>
          <w:rFonts w:ascii="Times New Roman" w:hAnsi="Times New Roman" w:cs="Times New Roman"/>
          <w:b/>
          <w:bCs/>
        </w:rPr>
        <w:t>frequency</w:t>
      </w:r>
      <w:proofErr w:type="gramEnd"/>
      <w:r w:rsidRPr="00475422">
        <w:rPr>
          <w:rFonts w:ascii="Times New Roman" w:hAnsi="Times New Roman" w:cs="Times New Roman"/>
          <w:b/>
          <w:bCs/>
        </w:rPr>
        <w:t xml:space="preserve"> tolerance</w:t>
      </w:r>
      <w:r w:rsidRPr="00475422">
        <w:rPr>
          <w:rFonts w:ascii="Times New Roman" w:hAnsi="Times New Roman" w:cs="Times New Roman"/>
        </w:rPr>
        <w:t>: The maximum permitted departure from nominal frequency of the fundamental</w:t>
      </w:r>
      <w:r>
        <w:rPr>
          <w:rFonts w:ascii="Times New Roman" w:hAnsi="Times New Roman" w:cs="Times New Roman"/>
        </w:rPr>
        <w:t xml:space="preserve"> </w:t>
      </w:r>
      <w:r w:rsidRPr="00475422">
        <w:rPr>
          <w:rFonts w:ascii="Times New Roman" w:hAnsi="Times New Roman" w:cs="Times New Roman"/>
        </w:rPr>
        <w:t>waveform during normal operation, excluding transients. It includes variations caused by load changes,</w:t>
      </w:r>
      <w:r>
        <w:rPr>
          <w:rFonts w:ascii="Times New Roman" w:hAnsi="Times New Roman" w:cs="Times New Roman"/>
        </w:rPr>
        <w:t xml:space="preserve"> </w:t>
      </w:r>
      <w:r w:rsidRPr="00475422">
        <w:rPr>
          <w:rFonts w:ascii="Times New Roman" w:hAnsi="Times New Roman" w:cs="Times New Roman"/>
        </w:rPr>
        <w:t>environment (temperature, humidity, vibration, inclination), switchboard meter error, and drift. Tolerances</w:t>
      </w:r>
      <w:r>
        <w:rPr>
          <w:rFonts w:ascii="Times New Roman" w:hAnsi="Times New Roman" w:cs="Times New Roman"/>
        </w:rPr>
        <w:t xml:space="preserve"> </w:t>
      </w:r>
      <w:r w:rsidRPr="00475422">
        <w:rPr>
          <w:rFonts w:ascii="Times New Roman" w:hAnsi="Times New Roman" w:cs="Times New Roman"/>
        </w:rPr>
        <w:t>are expressed in percentage of nominal frequency.</w:t>
      </w:r>
    </w:p>
    <w:p w14:paraId="3742D607" w14:textId="75CA421C" w:rsidR="00475422" w:rsidRDefault="00475422" w:rsidP="00475422">
      <w:pPr>
        <w:spacing w:before="240"/>
        <w:ind w:left="720" w:right="360"/>
        <w:jc w:val="both"/>
        <w:rPr>
          <w:rFonts w:ascii="Times New Roman" w:hAnsi="Times New Roman" w:cs="Times New Roman"/>
        </w:rPr>
      </w:pPr>
      <w:r w:rsidRPr="00475422">
        <w:rPr>
          <w:rFonts w:ascii="Times New Roman" w:hAnsi="Times New Roman" w:cs="Times New Roman"/>
          <w:b/>
          <w:bCs/>
        </w:rPr>
        <w:t>frequency transient</w:t>
      </w:r>
      <w:r w:rsidRPr="00475422">
        <w:rPr>
          <w:rFonts w:ascii="Times New Roman" w:hAnsi="Times New Roman" w:cs="Times New Roman"/>
        </w:rPr>
        <w:t>: A sudden change in frequency (</w:t>
      </w:r>
      <w:proofErr w:type="spellStart"/>
      <w:r w:rsidRPr="00475422">
        <w:rPr>
          <w:rFonts w:ascii="Times New Roman" w:hAnsi="Times New Roman" w:cs="Times New Roman"/>
          <w:i/>
          <w:iCs/>
        </w:rPr>
        <w:t>f</w:t>
      </w:r>
      <w:r w:rsidRPr="00F70673">
        <w:rPr>
          <w:rFonts w:ascii="Times New Roman" w:hAnsi="Times New Roman" w:cs="Times New Roman"/>
          <w:i/>
          <w:iCs/>
          <w:vertAlign w:val="subscript"/>
        </w:rPr>
        <w:t>system</w:t>
      </w:r>
      <w:proofErr w:type="spellEnd"/>
      <w:r w:rsidRPr="00475422">
        <w:rPr>
          <w:rFonts w:ascii="Times New Roman" w:hAnsi="Times New Roman" w:cs="Times New Roman"/>
        </w:rPr>
        <w:t>) of the fundamental waveform from an initial</w:t>
      </w:r>
      <w:r>
        <w:rPr>
          <w:rFonts w:ascii="Times New Roman" w:hAnsi="Times New Roman" w:cs="Times New Roman"/>
        </w:rPr>
        <w:t xml:space="preserve"> </w:t>
      </w:r>
      <w:r w:rsidRPr="00475422">
        <w:rPr>
          <w:rFonts w:ascii="Times New Roman" w:hAnsi="Times New Roman" w:cs="Times New Roman"/>
        </w:rPr>
        <w:t>frequency of operation (</w:t>
      </w:r>
      <w:proofErr w:type="spellStart"/>
      <w:r w:rsidRPr="00475422">
        <w:rPr>
          <w:rFonts w:ascii="Times New Roman" w:hAnsi="Times New Roman" w:cs="Times New Roman"/>
          <w:i/>
          <w:iCs/>
        </w:rPr>
        <w:t>f</w:t>
      </w:r>
      <w:r w:rsidRPr="00F70673">
        <w:rPr>
          <w:rFonts w:ascii="Times New Roman" w:hAnsi="Times New Roman" w:cs="Times New Roman"/>
          <w:i/>
          <w:iCs/>
          <w:vertAlign w:val="subscript"/>
        </w:rPr>
        <w:t>initial</w:t>
      </w:r>
      <w:proofErr w:type="spellEnd"/>
      <w:r w:rsidRPr="00475422">
        <w:rPr>
          <w:rFonts w:ascii="Times New Roman" w:hAnsi="Times New Roman" w:cs="Times New Roman"/>
        </w:rPr>
        <w:t>) that goes outside the frequency tolerance limits, returns to, and remains</w:t>
      </w:r>
      <w:r>
        <w:rPr>
          <w:rFonts w:ascii="Times New Roman" w:hAnsi="Times New Roman" w:cs="Times New Roman"/>
        </w:rPr>
        <w:t xml:space="preserve"> </w:t>
      </w:r>
      <w:r w:rsidRPr="00475422">
        <w:rPr>
          <w:rFonts w:ascii="Times New Roman" w:hAnsi="Times New Roman" w:cs="Times New Roman"/>
        </w:rPr>
        <w:t>inside these limits within the frequency transient recovery time after initiation of the disturbance.</w:t>
      </w:r>
      <w:r>
        <w:rPr>
          <w:rFonts w:ascii="Times New Roman" w:hAnsi="Times New Roman" w:cs="Times New Roman"/>
        </w:rPr>
        <w:t xml:space="preserve"> </w:t>
      </w:r>
      <w:r w:rsidRPr="00475422">
        <w:rPr>
          <w:rFonts w:ascii="Times New Roman" w:hAnsi="Times New Roman" w:cs="Times New Roman"/>
        </w:rPr>
        <w:t>Frequency transient tolerance is in addition to frequency tolerance limits and measured as percentage of</w:t>
      </w:r>
      <w:r>
        <w:rPr>
          <w:rFonts w:ascii="Times New Roman" w:hAnsi="Times New Roman" w:cs="Times New Roman"/>
        </w:rPr>
        <w:t xml:space="preserve"> </w:t>
      </w:r>
      <w:r w:rsidRPr="00475422">
        <w:rPr>
          <w:rFonts w:ascii="Times New Roman" w:hAnsi="Times New Roman" w:cs="Times New Roman"/>
        </w:rPr>
        <w:t>nominal frequency.</w:t>
      </w:r>
    </w:p>
    <w:p w14:paraId="52CC88A0" w14:textId="02C46F1E" w:rsidR="00475422" w:rsidRPr="00475422" w:rsidRDefault="00475422" w:rsidP="00475422">
      <w:pPr>
        <w:spacing w:before="240"/>
        <w:ind w:left="720" w:right="360"/>
        <w:jc w:val="both"/>
        <w:rPr>
          <w:rFonts w:ascii="Times New Roman" w:hAnsi="Times New Roman" w:cs="Times New Roman"/>
        </w:rPr>
      </w:pPr>
      <w:r>
        <w:rPr>
          <w:rFonts w:ascii="Times New Roman" w:hAnsi="Times New Roman" w:cs="Times New Roman"/>
        </w:rPr>
        <w:t xml:space="preserve">Frequency transient tolerance (%) = </w:t>
      </w:r>
      <m:oMath>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system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initial</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nominal</m:t>
                    </m:r>
                  </m:sub>
                </m:sSub>
              </m:den>
            </m:f>
          </m:e>
        </m:d>
        <m:r>
          <w:rPr>
            <w:rFonts w:ascii="Cambria Math" w:hAnsi="Cambria Math" w:cs="Times New Roman"/>
          </w:rPr>
          <m:t>×100</m:t>
        </m:r>
      </m:oMath>
    </w:p>
    <w:p w14:paraId="06ECF7A1" w14:textId="1D91FD4D" w:rsidR="00475422" w:rsidRDefault="00475422" w:rsidP="00475422">
      <w:pPr>
        <w:spacing w:before="240"/>
        <w:ind w:left="720" w:right="360"/>
        <w:jc w:val="both"/>
        <w:rPr>
          <w:rFonts w:ascii="Times New Roman" w:hAnsi="Times New Roman" w:cs="Times New Roman"/>
        </w:rPr>
      </w:pPr>
      <w:r w:rsidRPr="00475422">
        <w:rPr>
          <w:rFonts w:ascii="Times New Roman" w:hAnsi="Times New Roman" w:cs="Times New Roman"/>
          <w:b/>
          <w:bCs/>
        </w:rPr>
        <w:t xml:space="preserve">frequency transient recovery time: </w:t>
      </w:r>
      <w:r w:rsidRPr="00475422">
        <w:rPr>
          <w:rFonts w:ascii="Times New Roman" w:hAnsi="Times New Roman" w:cs="Times New Roman"/>
        </w:rPr>
        <w:t>The time period from the start of the disturbance until the frequency</w:t>
      </w:r>
      <w:r>
        <w:rPr>
          <w:rFonts w:ascii="Times New Roman" w:hAnsi="Times New Roman" w:cs="Times New Roman"/>
        </w:rPr>
        <w:t xml:space="preserve"> </w:t>
      </w:r>
      <w:r w:rsidRPr="00475422">
        <w:rPr>
          <w:rFonts w:ascii="Times New Roman" w:hAnsi="Times New Roman" w:cs="Times New Roman"/>
        </w:rPr>
        <w:t>recovers and remains within frequency tolerance limits.</w:t>
      </w:r>
    </w:p>
    <w:p w14:paraId="048FF3EC" w14:textId="0CB5A6AF" w:rsidR="00475422" w:rsidRPr="00475422" w:rsidRDefault="00475422" w:rsidP="00475422">
      <w:pPr>
        <w:spacing w:before="240"/>
        <w:ind w:left="720" w:right="360"/>
        <w:jc w:val="both"/>
        <w:rPr>
          <w:rFonts w:ascii="Times New Roman" w:hAnsi="Times New Roman" w:cs="Times New Roman"/>
        </w:rPr>
      </w:pPr>
      <w:r w:rsidRPr="00475422">
        <w:rPr>
          <w:rFonts w:ascii="Times New Roman" w:hAnsi="Times New Roman" w:cs="Times New Roman"/>
          <w:b/>
          <w:bCs/>
        </w:rPr>
        <w:t>frequency modulation</w:t>
      </w:r>
      <w:r w:rsidRPr="00475422">
        <w:rPr>
          <w:rFonts w:ascii="Times New Roman" w:hAnsi="Times New Roman" w:cs="Times New Roman"/>
        </w:rPr>
        <w:t>: The permitted recurring variation in frequency during normal operation over a</w:t>
      </w:r>
      <w:r>
        <w:rPr>
          <w:rFonts w:ascii="Times New Roman" w:hAnsi="Times New Roman" w:cs="Times New Roman"/>
        </w:rPr>
        <w:t xml:space="preserve"> </w:t>
      </w:r>
      <w:r w:rsidRPr="00475422">
        <w:rPr>
          <w:rFonts w:ascii="Times New Roman" w:hAnsi="Times New Roman" w:cs="Times New Roman"/>
        </w:rPr>
        <w:t>period up to 10 s. Frequency modulation may be caused by regularly and randomly repeated loading.</w:t>
      </w:r>
      <w:r>
        <w:rPr>
          <w:rFonts w:ascii="Times New Roman" w:hAnsi="Times New Roman" w:cs="Times New Roman"/>
        </w:rPr>
        <w:t xml:space="preserve">  </w:t>
      </w:r>
      <w:r w:rsidRPr="00475422">
        <w:rPr>
          <w:rFonts w:ascii="Times New Roman" w:hAnsi="Times New Roman" w:cs="Times New Roman"/>
        </w:rPr>
        <w:t>Frequency modulation is measured as a percentage of nominal frequency.</w:t>
      </w:r>
    </w:p>
    <w:p w14:paraId="58E1E9B4" w14:textId="0447F3CF" w:rsidR="00475422" w:rsidRPr="00475422" w:rsidRDefault="00475422" w:rsidP="00475422">
      <w:pPr>
        <w:spacing w:before="240"/>
        <w:ind w:left="720" w:right="360"/>
        <w:jc w:val="both"/>
        <w:rPr>
          <w:rFonts w:ascii="Times New Roman" w:hAnsi="Times New Roman" w:cs="Times New Roman"/>
        </w:rPr>
      </w:pPr>
      <w:r w:rsidRPr="00475422">
        <w:rPr>
          <w:rFonts w:ascii="Times New Roman" w:hAnsi="Times New Roman" w:cs="Times New Roman"/>
        </w:rPr>
        <w:lastRenderedPageBreak/>
        <w:t xml:space="preserve">Frequency modulation (%) </w:t>
      </w:r>
      <w:r>
        <w:rPr>
          <w:rFonts w:ascii="Times New Roman" w:hAnsi="Times New Roman" w:cs="Times New Roman"/>
        </w:rPr>
        <w:t xml:space="preserve">= </w:t>
      </w:r>
      <m:oMath>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max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min</m:t>
                    </m:r>
                  </m:sub>
                </m:sSub>
              </m:num>
              <m:den>
                <m:r>
                  <w:rPr>
                    <w:rFonts w:ascii="Cambria Math" w:hAnsi="Cambria Math" w:cs="Times New Roman"/>
                  </w:rPr>
                  <m:t xml:space="preserve">2 × </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nominal</m:t>
                    </m:r>
                  </m:sub>
                </m:sSub>
              </m:den>
            </m:f>
          </m:e>
        </m:d>
        <m:r>
          <w:rPr>
            <w:rFonts w:ascii="Cambria Math" w:hAnsi="Cambria Math" w:cs="Times New Roman"/>
          </w:rPr>
          <m:t>×100</m:t>
        </m:r>
      </m:oMath>
    </w:p>
    <w:p w14:paraId="64855DCB" w14:textId="32A839A4" w:rsidR="009124DD" w:rsidRPr="009124DD" w:rsidRDefault="009124DD" w:rsidP="009124DD">
      <w:pPr>
        <w:spacing w:before="240"/>
        <w:ind w:left="720" w:right="360"/>
        <w:jc w:val="both"/>
        <w:rPr>
          <w:rFonts w:ascii="Times New Roman" w:hAnsi="Times New Roman" w:cs="Times New Roman"/>
        </w:rPr>
      </w:pPr>
      <w:r w:rsidRPr="009124DD">
        <w:rPr>
          <w:rFonts w:ascii="Times New Roman" w:hAnsi="Times New Roman" w:cs="Times New Roman"/>
          <w:b/>
          <w:bCs/>
        </w:rPr>
        <w:t xml:space="preserve">voltage tolerance: </w:t>
      </w:r>
      <w:r w:rsidRPr="009124DD">
        <w:rPr>
          <w:rFonts w:ascii="Times New Roman" w:hAnsi="Times New Roman" w:cs="Times New Roman"/>
        </w:rPr>
        <w:t>The maximum permitted departure of the system voltage from nominal system voltage</w:t>
      </w:r>
      <w:r>
        <w:rPr>
          <w:rFonts w:ascii="Times New Roman" w:hAnsi="Times New Roman" w:cs="Times New Roman"/>
        </w:rPr>
        <w:t xml:space="preserve"> </w:t>
      </w:r>
      <w:r w:rsidRPr="009124DD">
        <w:rPr>
          <w:rFonts w:ascii="Times New Roman" w:hAnsi="Times New Roman" w:cs="Times New Roman"/>
        </w:rPr>
        <w:t>during normal operation, excluding transient variations. It includes variations such as those caused by load</w:t>
      </w:r>
      <w:r>
        <w:rPr>
          <w:rFonts w:ascii="Times New Roman" w:hAnsi="Times New Roman" w:cs="Times New Roman"/>
        </w:rPr>
        <w:t xml:space="preserve"> </w:t>
      </w:r>
      <w:r w:rsidRPr="009124DD">
        <w:rPr>
          <w:rFonts w:ascii="Times New Roman" w:hAnsi="Times New Roman" w:cs="Times New Roman"/>
        </w:rPr>
        <w:t>changes, environment (temperature, humidity, vibration, inclination), switchboard meter error, and drift.</w:t>
      </w:r>
      <w:r>
        <w:rPr>
          <w:rFonts w:ascii="Times New Roman" w:hAnsi="Times New Roman" w:cs="Times New Roman"/>
        </w:rPr>
        <w:t xml:space="preserve">  </w:t>
      </w:r>
      <w:r w:rsidRPr="009124DD">
        <w:rPr>
          <w:rFonts w:ascii="Times New Roman" w:hAnsi="Times New Roman" w:cs="Times New Roman"/>
        </w:rPr>
        <w:t>The voltage tolerance is measured as a percentage of nominal system voltage.</w:t>
      </w:r>
    </w:p>
    <w:p w14:paraId="15B0C369" w14:textId="439C786E" w:rsidR="00475422" w:rsidRPr="00475422" w:rsidRDefault="009124DD" w:rsidP="009124DD">
      <w:pPr>
        <w:spacing w:before="240"/>
        <w:ind w:left="720" w:right="360"/>
        <w:jc w:val="both"/>
        <w:rPr>
          <w:rFonts w:ascii="Times New Roman" w:hAnsi="Times New Roman" w:cs="Times New Roman"/>
        </w:rPr>
      </w:pPr>
      <w:r w:rsidRPr="009124DD">
        <w:rPr>
          <w:rFonts w:ascii="Times New Roman" w:hAnsi="Times New Roman" w:cs="Times New Roman"/>
          <w:b/>
          <w:bCs/>
        </w:rPr>
        <w:t xml:space="preserve">voltage transient: </w:t>
      </w:r>
      <w:r w:rsidRPr="009124DD">
        <w:rPr>
          <w:rFonts w:ascii="Times New Roman" w:hAnsi="Times New Roman" w:cs="Times New Roman"/>
        </w:rPr>
        <w:t>A sudden change (excluding spikes) in system voltage that goes outside the user voltage</w:t>
      </w:r>
      <w:r>
        <w:rPr>
          <w:rFonts w:ascii="Times New Roman" w:hAnsi="Times New Roman" w:cs="Times New Roman"/>
        </w:rPr>
        <w:t xml:space="preserve"> </w:t>
      </w:r>
      <w:r w:rsidRPr="009124DD">
        <w:rPr>
          <w:rFonts w:ascii="Times New Roman" w:hAnsi="Times New Roman" w:cs="Times New Roman"/>
        </w:rPr>
        <w:t xml:space="preserve">tolerance limits and returns to and remains within these limits within the time period between 1 </w:t>
      </w:r>
      <w:proofErr w:type="spellStart"/>
      <w:r w:rsidRPr="009124DD">
        <w:rPr>
          <w:rFonts w:ascii="Times New Roman" w:hAnsi="Times New Roman" w:cs="Times New Roman"/>
        </w:rPr>
        <w:t>ms</w:t>
      </w:r>
      <w:proofErr w:type="spellEnd"/>
      <w:r w:rsidRPr="009124DD">
        <w:rPr>
          <w:rFonts w:ascii="Times New Roman" w:hAnsi="Times New Roman" w:cs="Times New Roman"/>
        </w:rPr>
        <w:t xml:space="preserve"> and the</w:t>
      </w:r>
      <w:r>
        <w:rPr>
          <w:rFonts w:ascii="Times New Roman" w:hAnsi="Times New Roman" w:cs="Times New Roman"/>
        </w:rPr>
        <w:t xml:space="preserve"> </w:t>
      </w:r>
      <w:r w:rsidRPr="009124DD">
        <w:rPr>
          <w:rFonts w:ascii="Times New Roman" w:hAnsi="Times New Roman" w:cs="Times New Roman"/>
        </w:rPr>
        <w:t>voltage transient recovery time after the initiation of the disturbance. The voltage transient (percent) is the</w:t>
      </w:r>
      <w:r>
        <w:rPr>
          <w:rFonts w:ascii="Times New Roman" w:hAnsi="Times New Roman" w:cs="Times New Roman"/>
        </w:rPr>
        <w:t xml:space="preserve"> </w:t>
      </w:r>
      <w:r w:rsidRPr="009124DD">
        <w:rPr>
          <w:rFonts w:ascii="Times New Roman" w:hAnsi="Times New Roman" w:cs="Times New Roman"/>
        </w:rPr>
        <w:t>difference between the instantaneous system voltage (</w:t>
      </w:r>
      <w:proofErr w:type="spellStart"/>
      <w:r w:rsidRPr="009124DD">
        <w:rPr>
          <w:rFonts w:ascii="Times New Roman" w:hAnsi="Times New Roman" w:cs="Times New Roman"/>
          <w:i/>
          <w:iCs/>
        </w:rPr>
        <w:t>V</w:t>
      </w:r>
      <w:r w:rsidRPr="009124DD">
        <w:rPr>
          <w:rFonts w:ascii="Times New Roman" w:hAnsi="Times New Roman" w:cs="Times New Roman"/>
          <w:vertAlign w:val="subscript"/>
        </w:rPr>
        <w:t>transient</w:t>
      </w:r>
      <w:proofErr w:type="spellEnd"/>
      <w:r w:rsidRPr="009124DD">
        <w:rPr>
          <w:rFonts w:ascii="Times New Roman" w:hAnsi="Times New Roman" w:cs="Times New Roman"/>
        </w:rPr>
        <w:t>) during the disturbance and the instantaneous</w:t>
      </w:r>
      <w:r>
        <w:rPr>
          <w:rFonts w:ascii="Times New Roman" w:hAnsi="Times New Roman" w:cs="Times New Roman"/>
        </w:rPr>
        <w:t xml:space="preserve"> </w:t>
      </w:r>
      <w:r w:rsidRPr="009124DD">
        <w:rPr>
          <w:rFonts w:ascii="Times New Roman" w:hAnsi="Times New Roman" w:cs="Times New Roman"/>
        </w:rPr>
        <w:t>value of the fundamental voltage waveform (</w:t>
      </w:r>
      <w:proofErr w:type="spellStart"/>
      <w:r w:rsidRPr="009124DD">
        <w:rPr>
          <w:rFonts w:ascii="Times New Roman" w:hAnsi="Times New Roman" w:cs="Times New Roman"/>
          <w:i/>
          <w:iCs/>
        </w:rPr>
        <w:t>V</w:t>
      </w:r>
      <w:r w:rsidRPr="009124DD">
        <w:rPr>
          <w:rFonts w:ascii="Times New Roman" w:hAnsi="Times New Roman" w:cs="Times New Roman"/>
          <w:vertAlign w:val="subscript"/>
        </w:rPr>
        <w:t>system</w:t>
      </w:r>
      <w:proofErr w:type="spellEnd"/>
      <w:r w:rsidRPr="009124DD">
        <w:rPr>
          <w:rFonts w:ascii="Times New Roman" w:hAnsi="Times New Roman" w:cs="Times New Roman"/>
        </w:rPr>
        <w:t>) extrapolated from immediately prior to the</w:t>
      </w:r>
      <w:r>
        <w:rPr>
          <w:rFonts w:ascii="Times New Roman" w:hAnsi="Times New Roman" w:cs="Times New Roman"/>
        </w:rPr>
        <w:t xml:space="preserve"> </w:t>
      </w:r>
      <w:r w:rsidRPr="009124DD">
        <w:rPr>
          <w:rFonts w:ascii="Times New Roman" w:hAnsi="Times New Roman" w:cs="Times New Roman"/>
        </w:rPr>
        <w:t>disturbance, expressed as a percentage of nominal system voltage.</w:t>
      </w:r>
    </w:p>
    <w:p w14:paraId="2270A08D" w14:textId="0B798751" w:rsidR="009124DD" w:rsidRPr="00475422" w:rsidRDefault="009124DD" w:rsidP="009124DD">
      <w:pPr>
        <w:spacing w:before="240"/>
        <w:ind w:left="720" w:right="360"/>
        <w:jc w:val="both"/>
        <w:rPr>
          <w:rFonts w:ascii="Times New Roman" w:hAnsi="Times New Roman" w:cs="Times New Roman"/>
        </w:rPr>
      </w:pPr>
      <w:r>
        <w:rPr>
          <w:rFonts w:ascii="Times New Roman" w:hAnsi="Times New Roman" w:cs="Times New Roman"/>
        </w:rPr>
        <w:t xml:space="preserve">Voltage transient (%) = </w:t>
      </w:r>
      <m:oMath>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transient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system</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nominal</m:t>
                    </m:r>
                  </m:sub>
                </m:sSub>
              </m:den>
            </m:f>
          </m:e>
        </m:d>
        <m:r>
          <w:rPr>
            <w:rFonts w:ascii="Cambria Math" w:hAnsi="Cambria Math" w:cs="Times New Roman"/>
          </w:rPr>
          <m:t>×100</m:t>
        </m:r>
      </m:oMath>
    </w:p>
    <w:p w14:paraId="39455E26" w14:textId="4F8AA156" w:rsidR="00475422" w:rsidRDefault="009124DD" w:rsidP="009124DD">
      <w:pPr>
        <w:spacing w:before="240"/>
        <w:ind w:left="720" w:right="360"/>
        <w:jc w:val="both"/>
        <w:rPr>
          <w:rFonts w:ascii="Times New Roman" w:hAnsi="Times New Roman" w:cs="Times New Roman"/>
        </w:rPr>
      </w:pPr>
      <w:r w:rsidRPr="009124DD">
        <w:rPr>
          <w:rFonts w:ascii="Times New Roman" w:hAnsi="Times New Roman" w:cs="Times New Roman"/>
          <w:b/>
          <w:bCs/>
        </w:rPr>
        <w:t>voltage transient recovery time</w:t>
      </w:r>
      <w:r w:rsidRPr="009124DD">
        <w:rPr>
          <w:rFonts w:ascii="Times New Roman" w:hAnsi="Times New Roman" w:cs="Times New Roman"/>
        </w:rPr>
        <w:t>: The time elapsed from initiation of the disturbance until the system</w:t>
      </w:r>
      <w:r>
        <w:rPr>
          <w:rFonts w:ascii="Times New Roman" w:hAnsi="Times New Roman" w:cs="Times New Roman"/>
        </w:rPr>
        <w:t xml:space="preserve"> </w:t>
      </w:r>
      <w:r w:rsidRPr="009124DD">
        <w:rPr>
          <w:rFonts w:ascii="Times New Roman" w:hAnsi="Times New Roman" w:cs="Times New Roman"/>
        </w:rPr>
        <w:t>voltage recovers and remains within voltage tolerance limits.</w:t>
      </w:r>
    </w:p>
    <w:p w14:paraId="16F3212E" w14:textId="239803F1" w:rsidR="009124DD" w:rsidRPr="009124DD" w:rsidRDefault="009124DD" w:rsidP="009124DD">
      <w:pPr>
        <w:spacing w:before="240"/>
        <w:ind w:left="720" w:right="360"/>
        <w:jc w:val="both"/>
        <w:rPr>
          <w:rFonts w:ascii="Times New Roman" w:hAnsi="Times New Roman" w:cs="Times New Roman"/>
        </w:rPr>
      </w:pPr>
      <w:r w:rsidRPr="009124DD">
        <w:rPr>
          <w:rFonts w:ascii="Times New Roman" w:hAnsi="Times New Roman" w:cs="Times New Roman"/>
          <w:b/>
          <w:bCs/>
        </w:rPr>
        <w:t xml:space="preserve">line voltage unbalance </w:t>
      </w:r>
      <w:r w:rsidRPr="009124DD">
        <w:rPr>
          <w:rFonts w:ascii="Times New Roman" w:hAnsi="Times New Roman" w:cs="Times New Roman"/>
        </w:rPr>
        <w:t>(three-phase system): The difference between the highest and lowest line-to-line</w:t>
      </w:r>
      <w:r>
        <w:rPr>
          <w:rFonts w:ascii="Times New Roman" w:hAnsi="Times New Roman" w:cs="Times New Roman"/>
        </w:rPr>
        <w:t xml:space="preserve"> </w:t>
      </w:r>
      <w:r w:rsidRPr="009124DD">
        <w:rPr>
          <w:rFonts w:ascii="Times New Roman" w:hAnsi="Times New Roman" w:cs="Times New Roman"/>
        </w:rPr>
        <w:t>voltages (rms) measured as a percentage of nominal system voltage.</w:t>
      </w:r>
    </w:p>
    <w:p w14:paraId="36F704F6" w14:textId="6CD586FC" w:rsidR="009124DD" w:rsidRPr="00475422" w:rsidRDefault="009124DD" w:rsidP="009124DD">
      <w:pPr>
        <w:spacing w:before="240"/>
        <w:ind w:left="720" w:right="360"/>
        <w:jc w:val="both"/>
        <w:rPr>
          <w:rFonts w:ascii="Times New Roman" w:hAnsi="Times New Roman" w:cs="Times New Roman"/>
        </w:rPr>
      </w:pPr>
      <w:r w:rsidRPr="009124DD">
        <w:rPr>
          <w:rFonts w:ascii="Times New Roman" w:hAnsi="Times New Roman" w:cs="Times New Roman"/>
        </w:rPr>
        <w:t>Line voltage unbalance (%)</w:t>
      </w:r>
      <w:r>
        <w:rPr>
          <w:rFonts w:ascii="Times New Roman" w:hAnsi="Times New Roman" w:cs="Times New Roman"/>
        </w:rPr>
        <w:t xml:space="preserve"> = </w:t>
      </w:r>
      <m:oMath>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line_to_line_max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line_to_line_min</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nominal</m:t>
                    </m:r>
                  </m:sub>
                </m:sSub>
              </m:den>
            </m:f>
          </m:e>
        </m:d>
        <m:r>
          <w:rPr>
            <w:rFonts w:ascii="Cambria Math" w:hAnsi="Cambria Math" w:cs="Times New Roman"/>
          </w:rPr>
          <m:t>×100</m:t>
        </m:r>
      </m:oMath>
      <w:r>
        <w:rPr>
          <w:rFonts w:ascii="Times New Roman" w:eastAsiaTheme="minorEastAsia" w:hAnsi="Times New Roman" w:cs="Times New Roman"/>
        </w:rPr>
        <w:t>”</w:t>
      </w:r>
    </w:p>
    <w:p w14:paraId="7C6FF923" w14:textId="0943F095" w:rsidR="00475422" w:rsidRDefault="00475422" w:rsidP="00475422">
      <w:pPr>
        <w:pStyle w:val="Caption"/>
        <w:keepNext/>
        <w:jc w:val="center"/>
      </w:pPr>
      <w:bookmarkStart w:id="0" w:name="_Ref240907758"/>
      <w:r>
        <w:t xml:space="preserve">Table </w:t>
      </w:r>
      <w:fldSimple w:instr=" SEQ Table \* ROMAN ">
        <w:r w:rsidR="00EF41D9">
          <w:rPr>
            <w:noProof/>
          </w:rPr>
          <w:t>I</w:t>
        </w:r>
      </w:fldSimple>
      <w:bookmarkEnd w:id="0"/>
      <w:r>
        <w:t>: IEEE Std. 45.1 Alternating current (ac) power characteristics)</w:t>
      </w:r>
    </w:p>
    <w:p w14:paraId="57A25C5F" w14:textId="4CC4E6CB" w:rsidR="003521A2" w:rsidRDefault="00475422" w:rsidP="00475422">
      <w:pPr>
        <w:spacing w:before="240"/>
        <w:ind w:left="360"/>
        <w:jc w:val="center"/>
        <w:rPr>
          <w:rFonts w:ascii="Times New Roman" w:hAnsi="Times New Roman" w:cs="Times New Roman"/>
        </w:rPr>
      </w:pPr>
      <w:r w:rsidRPr="00475422">
        <w:rPr>
          <w:rFonts w:ascii="Times New Roman" w:hAnsi="Times New Roman" w:cs="Times New Roman"/>
          <w:noProof/>
        </w:rPr>
        <w:drawing>
          <wp:inline distT="0" distB="0" distL="0" distR="0" wp14:anchorId="38D6D8FB" wp14:editId="37897A3D">
            <wp:extent cx="3657600" cy="2065168"/>
            <wp:effectExtent l="0" t="0" r="0" b="0"/>
            <wp:docPr id="181160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07457" name=""/>
                    <pic:cNvPicPr/>
                  </pic:nvPicPr>
                  <pic:blipFill rotWithShape="1">
                    <a:blip r:embed="rId8"/>
                    <a:srcRect t="1475"/>
                    <a:stretch>
                      <a:fillRect/>
                    </a:stretch>
                  </pic:blipFill>
                  <pic:spPr bwMode="auto">
                    <a:xfrm>
                      <a:off x="0" y="0"/>
                      <a:ext cx="3657600" cy="2065168"/>
                    </a:xfrm>
                    <a:prstGeom prst="rect">
                      <a:avLst/>
                    </a:prstGeom>
                    <a:ln>
                      <a:noFill/>
                    </a:ln>
                    <a:extLst>
                      <a:ext uri="{53640926-AAD7-44D8-BBD7-CCE9431645EC}">
                        <a14:shadowObscured xmlns:a14="http://schemas.microsoft.com/office/drawing/2010/main"/>
                      </a:ext>
                    </a:extLst>
                  </pic:spPr>
                </pic:pic>
              </a:graphicData>
            </a:graphic>
          </wp:inline>
        </w:drawing>
      </w:r>
    </w:p>
    <w:p w14:paraId="5D5062C5" w14:textId="6425AEA7" w:rsidR="009124DD" w:rsidRDefault="009124DD" w:rsidP="009124DD">
      <w:pPr>
        <w:spacing w:before="240"/>
        <w:rPr>
          <w:rFonts w:ascii="Times New Roman" w:hAnsi="Times New Roman" w:cs="Times New Roman"/>
        </w:rPr>
      </w:pPr>
      <w:r>
        <w:rPr>
          <w:rFonts w:ascii="Times New Roman" w:hAnsi="Times New Roman" w:cs="Times New Roman"/>
        </w:rPr>
        <w:lastRenderedPageBreak/>
        <w:t>IEEE Std. 45.1 also provides the following guidance …</w:t>
      </w:r>
    </w:p>
    <w:p w14:paraId="26BD472D" w14:textId="65D485FE" w:rsidR="009124DD" w:rsidRPr="009124DD" w:rsidRDefault="009124DD" w:rsidP="009124DD">
      <w:pPr>
        <w:spacing w:before="240"/>
        <w:ind w:left="270" w:right="360"/>
        <w:jc w:val="both"/>
        <w:rPr>
          <w:rFonts w:ascii="Times New Roman" w:hAnsi="Times New Roman" w:cs="Times New Roman"/>
        </w:rPr>
      </w:pPr>
      <w:r>
        <w:rPr>
          <w:rFonts w:ascii="Times New Roman" w:hAnsi="Times New Roman" w:cs="Times New Roman"/>
        </w:rPr>
        <w:t>“</w:t>
      </w:r>
      <w:r w:rsidRPr="009124DD">
        <w:rPr>
          <w:rFonts w:ascii="Times New Roman" w:hAnsi="Times New Roman" w:cs="Times New Roman"/>
        </w:rPr>
        <w:t>The total waveform distortion (TWD) of the voltage at the switchboard, load center, or power panel</w:t>
      </w:r>
      <w:r>
        <w:rPr>
          <w:rFonts w:ascii="Times New Roman" w:hAnsi="Times New Roman" w:cs="Times New Roman"/>
        </w:rPr>
        <w:t xml:space="preserve"> </w:t>
      </w:r>
      <w:r w:rsidRPr="009124DD">
        <w:rPr>
          <w:rFonts w:ascii="Times New Roman" w:hAnsi="Times New Roman" w:cs="Times New Roman"/>
        </w:rPr>
        <w:t>directly connected to a load should not exceed 8% and any single frequency component of the voltage</w:t>
      </w:r>
      <w:r>
        <w:rPr>
          <w:rFonts w:ascii="Times New Roman" w:hAnsi="Times New Roman" w:cs="Times New Roman"/>
        </w:rPr>
        <w:t xml:space="preserve"> </w:t>
      </w:r>
      <w:r w:rsidRPr="009124DD">
        <w:rPr>
          <w:rFonts w:ascii="Times New Roman" w:hAnsi="Times New Roman" w:cs="Times New Roman"/>
        </w:rPr>
        <w:t>waveform should not exceed 5%. If these values are exceeded, distribution equipment and load equipment</w:t>
      </w:r>
      <w:r>
        <w:rPr>
          <w:rFonts w:ascii="Times New Roman" w:hAnsi="Times New Roman" w:cs="Times New Roman"/>
        </w:rPr>
        <w:t xml:space="preserve"> </w:t>
      </w:r>
      <w:r w:rsidRPr="009124DD">
        <w:rPr>
          <w:rFonts w:ascii="Times New Roman" w:hAnsi="Times New Roman" w:cs="Times New Roman"/>
        </w:rPr>
        <w:t>should be designed to operate at the higher values. The impacts of higher voltage waveform distortion</w:t>
      </w:r>
      <w:r>
        <w:rPr>
          <w:rFonts w:ascii="Times New Roman" w:hAnsi="Times New Roman" w:cs="Times New Roman"/>
        </w:rPr>
        <w:t xml:space="preserve"> </w:t>
      </w:r>
      <w:r w:rsidRPr="009124DD">
        <w:rPr>
          <w:rFonts w:ascii="Times New Roman" w:hAnsi="Times New Roman" w:cs="Times New Roman"/>
        </w:rPr>
        <w:t>(above the levels specified previously) such as increased heat losses, instrumentation errors, and possible</w:t>
      </w:r>
      <w:r>
        <w:rPr>
          <w:rFonts w:ascii="Times New Roman" w:hAnsi="Times New Roman" w:cs="Times New Roman"/>
        </w:rPr>
        <w:t xml:space="preserve"> </w:t>
      </w:r>
      <w:r w:rsidRPr="009124DD">
        <w:rPr>
          <w:rFonts w:ascii="Times New Roman" w:hAnsi="Times New Roman" w:cs="Times New Roman"/>
        </w:rPr>
        <w:t>system instability should be evaluated to ensure system performance is not degraded. If economical,</w:t>
      </w:r>
      <w:r>
        <w:rPr>
          <w:rFonts w:ascii="Times New Roman" w:hAnsi="Times New Roman" w:cs="Times New Roman"/>
        </w:rPr>
        <w:t xml:space="preserve"> </w:t>
      </w:r>
      <w:r w:rsidRPr="009124DD">
        <w:rPr>
          <w:rFonts w:ascii="Times New Roman" w:hAnsi="Times New Roman" w:cs="Times New Roman"/>
        </w:rPr>
        <w:t>consideration should be given to limiting the TWD of the voltage waveform to no more than 5% and</w:t>
      </w:r>
      <w:r>
        <w:rPr>
          <w:rFonts w:ascii="Times New Roman" w:hAnsi="Times New Roman" w:cs="Times New Roman"/>
        </w:rPr>
        <w:t xml:space="preserve"> </w:t>
      </w:r>
      <w:r w:rsidRPr="009124DD">
        <w:rPr>
          <w:rFonts w:ascii="Times New Roman" w:hAnsi="Times New Roman" w:cs="Times New Roman"/>
        </w:rPr>
        <w:t>limiting any single frequency component to no more than 3%. If the TWD of the voltage waveform</w:t>
      </w:r>
      <w:r>
        <w:rPr>
          <w:rFonts w:ascii="Times New Roman" w:hAnsi="Times New Roman" w:cs="Times New Roman"/>
        </w:rPr>
        <w:t xml:space="preserve"> </w:t>
      </w:r>
      <w:r w:rsidRPr="009124DD">
        <w:rPr>
          <w:rFonts w:ascii="Times New Roman" w:hAnsi="Times New Roman" w:cs="Times New Roman"/>
        </w:rPr>
        <w:t>exceeds 5% or any single frequency component exceeds 3%, equipment specifications should include the</w:t>
      </w:r>
      <w:r>
        <w:rPr>
          <w:rFonts w:ascii="Times New Roman" w:hAnsi="Times New Roman" w:cs="Times New Roman"/>
        </w:rPr>
        <w:t xml:space="preserve"> </w:t>
      </w:r>
      <w:r w:rsidRPr="009124DD">
        <w:rPr>
          <w:rFonts w:ascii="Times New Roman" w:hAnsi="Times New Roman" w:cs="Times New Roman"/>
        </w:rPr>
        <w:t>expected maximum values for TWD and the equipment vendors should be made aware of this requirement.</w:t>
      </w:r>
    </w:p>
    <w:p w14:paraId="607299C1" w14:textId="5D4B0742" w:rsidR="009124DD" w:rsidRDefault="009124DD" w:rsidP="009124DD">
      <w:pPr>
        <w:spacing w:before="240"/>
        <w:ind w:left="270" w:right="360"/>
        <w:jc w:val="both"/>
        <w:rPr>
          <w:rFonts w:ascii="Times New Roman" w:hAnsi="Times New Roman" w:cs="Times New Roman"/>
        </w:rPr>
      </w:pPr>
      <w:r w:rsidRPr="009124DD">
        <w:rPr>
          <w:rFonts w:ascii="Times New Roman" w:hAnsi="Times New Roman" w:cs="Times New Roman"/>
        </w:rPr>
        <w:t>Load equipment should limit current distortion in accordance with IEEE Std 519 under all operating</w:t>
      </w:r>
      <w:r>
        <w:rPr>
          <w:rFonts w:ascii="Times New Roman" w:hAnsi="Times New Roman" w:cs="Times New Roman"/>
        </w:rPr>
        <w:t xml:space="preserve"> </w:t>
      </w:r>
      <w:r w:rsidRPr="009124DD">
        <w:rPr>
          <w:rFonts w:ascii="Times New Roman" w:hAnsi="Times New Roman" w:cs="Times New Roman"/>
        </w:rPr>
        <w:t>conditions from standby to full load. For the purpose of applying IEEE Std 519, the point of common</w:t>
      </w:r>
      <w:r>
        <w:rPr>
          <w:rFonts w:ascii="Times New Roman" w:hAnsi="Times New Roman" w:cs="Times New Roman"/>
        </w:rPr>
        <w:t xml:space="preserve"> </w:t>
      </w:r>
      <w:r w:rsidRPr="009124DD">
        <w:rPr>
          <w:rFonts w:ascii="Times New Roman" w:hAnsi="Times New Roman" w:cs="Times New Roman"/>
        </w:rPr>
        <w:t>coupling should be considered the load connection to a switchboard, load center, or power panel. In cases</w:t>
      </w:r>
      <w:r>
        <w:rPr>
          <w:rFonts w:ascii="Times New Roman" w:hAnsi="Times New Roman" w:cs="Times New Roman"/>
        </w:rPr>
        <w:t xml:space="preserve"> </w:t>
      </w:r>
      <w:r w:rsidRPr="009124DD">
        <w:rPr>
          <w:rFonts w:ascii="Times New Roman" w:hAnsi="Times New Roman" w:cs="Times New Roman"/>
        </w:rPr>
        <w:t>where the current waveform distortion is above that specified in IEEE Std 519, the impacts of the higher</w:t>
      </w:r>
      <w:r>
        <w:rPr>
          <w:rFonts w:ascii="Times New Roman" w:hAnsi="Times New Roman" w:cs="Times New Roman"/>
        </w:rPr>
        <w:t xml:space="preserve"> </w:t>
      </w:r>
      <w:r w:rsidRPr="009124DD">
        <w:rPr>
          <w:rFonts w:ascii="Times New Roman" w:hAnsi="Times New Roman" w:cs="Times New Roman"/>
        </w:rPr>
        <w:t>current waveform distortion such as increased heat losses, instrumentation errors, and possible system</w:t>
      </w:r>
      <w:r>
        <w:rPr>
          <w:rFonts w:ascii="Times New Roman" w:hAnsi="Times New Roman" w:cs="Times New Roman"/>
        </w:rPr>
        <w:t xml:space="preserve"> </w:t>
      </w:r>
      <w:r w:rsidRPr="009124DD">
        <w:rPr>
          <w:rFonts w:ascii="Times New Roman" w:hAnsi="Times New Roman" w:cs="Times New Roman"/>
        </w:rPr>
        <w:t>instability should be evaluated, and current waveform distortion mitigation means should be incorporated</w:t>
      </w:r>
      <w:r>
        <w:rPr>
          <w:rFonts w:ascii="Times New Roman" w:hAnsi="Times New Roman" w:cs="Times New Roman"/>
        </w:rPr>
        <w:t xml:space="preserve"> </w:t>
      </w:r>
      <w:r w:rsidRPr="009124DD">
        <w:rPr>
          <w:rFonts w:ascii="Times New Roman" w:hAnsi="Times New Roman" w:cs="Times New Roman"/>
        </w:rPr>
        <w:t>as they are needed to help ensure adequate system performance. IEEE Std 519 provides guidance for</w:t>
      </w:r>
      <w:r>
        <w:rPr>
          <w:rFonts w:ascii="Times New Roman" w:hAnsi="Times New Roman" w:cs="Times New Roman"/>
        </w:rPr>
        <w:t xml:space="preserve"> </w:t>
      </w:r>
      <w:r w:rsidRPr="009124DD">
        <w:rPr>
          <w:rFonts w:ascii="Times New Roman" w:hAnsi="Times New Roman" w:cs="Times New Roman"/>
        </w:rPr>
        <w:t>mitigation means.</w:t>
      </w:r>
      <w:r>
        <w:rPr>
          <w:rFonts w:ascii="Times New Roman" w:hAnsi="Times New Roman" w:cs="Times New Roman"/>
        </w:rPr>
        <w:t>”</w:t>
      </w:r>
    </w:p>
    <w:p w14:paraId="65FA5EC6" w14:textId="08BBA1A7" w:rsidR="009124DD" w:rsidRDefault="009124DD" w:rsidP="00AE3243">
      <w:pPr>
        <w:spacing w:before="240"/>
        <w:ind w:right="360"/>
        <w:jc w:val="both"/>
        <w:rPr>
          <w:rFonts w:ascii="Times New Roman" w:hAnsi="Times New Roman" w:cs="Times New Roman"/>
        </w:rPr>
      </w:pPr>
      <w:r>
        <w:rPr>
          <w:rFonts w:ascii="Times New Roman" w:hAnsi="Times New Roman" w:cs="Times New Roman"/>
        </w:rPr>
        <w:t>And</w:t>
      </w:r>
      <w:r w:rsidR="00AE3243">
        <w:rPr>
          <w:rFonts w:ascii="Times New Roman" w:hAnsi="Times New Roman" w:cs="Times New Roman"/>
        </w:rPr>
        <w:t xml:space="preserve"> the following definition …</w:t>
      </w:r>
    </w:p>
    <w:p w14:paraId="062741FB" w14:textId="441082D8" w:rsidR="009124DD" w:rsidRDefault="009124DD" w:rsidP="00AE3243">
      <w:pPr>
        <w:spacing w:before="240"/>
        <w:ind w:left="360" w:right="360"/>
        <w:jc w:val="both"/>
        <w:rPr>
          <w:rFonts w:ascii="Times New Roman" w:hAnsi="Times New Roman" w:cs="Times New Roman"/>
        </w:rPr>
      </w:pPr>
      <w:r>
        <w:rPr>
          <w:rFonts w:ascii="Times New Roman" w:hAnsi="Times New Roman" w:cs="Times New Roman"/>
        </w:rPr>
        <w:t>“</w:t>
      </w:r>
      <w:proofErr w:type="gramStart"/>
      <w:r w:rsidRPr="009124DD">
        <w:rPr>
          <w:rFonts w:ascii="Times New Roman" w:hAnsi="Times New Roman" w:cs="Times New Roman"/>
          <w:b/>
          <w:bCs/>
        </w:rPr>
        <w:t>total</w:t>
      </w:r>
      <w:proofErr w:type="gramEnd"/>
      <w:r w:rsidRPr="009124DD">
        <w:rPr>
          <w:rFonts w:ascii="Times New Roman" w:hAnsi="Times New Roman" w:cs="Times New Roman"/>
          <w:b/>
          <w:bCs/>
        </w:rPr>
        <w:t xml:space="preserve"> waveform distortion (TWD): </w:t>
      </w:r>
      <w:r w:rsidRPr="009124DD">
        <w:rPr>
          <w:rFonts w:ascii="Times New Roman" w:hAnsi="Times New Roman" w:cs="Times New Roman"/>
        </w:rPr>
        <w:t>The ratio in percentage of the rms value of the residue (after</w:t>
      </w:r>
      <w:r>
        <w:rPr>
          <w:rFonts w:ascii="Times New Roman" w:hAnsi="Times New Roman" w:cs="Times New Roman"/>
        </w:rPr>
        <w:t xml:space="preserve"> </w:t>
      </w:r>
      <w:r w:rsidRPr="009124DD">
        <w:rPr>
          <w:rFonts w:ascii="Times New Roman" w:hAnsi="Times New Roman" w:cs="Times New Roman"/>
        </w:rPr>
        <w:t>elimination of the fundamental) to the rms value of the fundamental.</w:t>
      </w:r>
      <w:r w:rsidR="00AE3243">
        <w:rPr>
          <w:rFonts w:ascii="Times New Roman" w:hAnsi="Times New Roman" w:cs="Times New Roman"/>
        </w:rPr>
        <w:t>”</w:t>
      </w:r>
    </w:p>
    <w:p w14:paraId="11B48E8A" w14:textId="56321F2F" w:rsidR="00AE3243" w:rsidRDefault="00AE3243" w:rsidP="00AE3243">
      <w:pPr>
        <w:spacing w:before="2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_Ref240909041 \h  \* MERGEFORMAT </w:instrText>
      </w:r>
      <w:r>
        <w:rPr>
          <w:rFonts w:ascii="Times New Roman" w:hAnsi="Times New Roman" w:cs="Times New Roman"/>
        </w:rPr>
      </w:r>
      <w:r>
        <w:rPr>
          <w:rFonts w:ascii="Times New Roman" w:hAnsi="Times New Roman" w:cs="Times New Roman"/>
        </w:rPr>
        <w:fldChar w:fldCharType="separate"/>
      </w:r>
      <w:r w:rsidRPr="00AE3243">
        <w:rPr>
          <w:rFonts w:ascii="Times New Roman" w:hAnsi="Times New Roman" w:cs="Times New Roman"/>
        </w:rPr>
        <w:t>Table II</w:t>
      </w:r>
      <w:r>
        <w:rPr>
          <w:rFonts w:ascii="Times New Roman" w:hAnsi="Times New Roman" w:cs="Times New Roman"/>
        </w:rPr>
        <w:fldChar w:fldCharType="end"/>
      </w:r>
      <w:r>
        <w:rPr>
          <w:rFonts w:ascii="Times New Roman" w:hAnsi="Times New Roman" w:cs="Times New Roman"/>
        </w:rPr>
        <w:t xml:space="preserve"> depicts power quality requirements defined in IEEE Std</w:t>
      </w:r>
      <w:r w:rsidR="0060216D">
        <w:rPr>
          <w:rFonts w:ascii="Times New Roman" w:hAnsi="Times New Roman" w:cs="Times New Roman"/>
        </w:rPr>
        <w:t>.</w:t>
      </w:r>
      <w:r>
        <w:rPr>
          <w:rFonts w:ascii="Times New Roman" w:hAnsi="Times New Roman" w:cs="Times New Roman"/>
        </w:rPr>
        <w:t xml:space="preserve"> 45.1 for dc power below 1000 volts.  IEEE Std</w:t>
      </w:r>
      <w:r w:rsidR="0060216D">
        <w:rPr>
          <w:rFonts w:ascii="Times New Roman" w:hAnsi="Times New Roman" w:cs="Times New Roman"/>
        </w:rPr>
        <w:t>.</w:t>
      </w:r>
      <w:r>
        <w:rPr>
          <w:rFonts w:ascii="Times New Roman" w:hAnsi="Times New Roman" w:cs="Times New Roman"/>
        </w:rPr>
        <w:t> 45.1 also provides the following definitions:</w:t>
      </w:r>
    </w:p>
    <w:p w14:paraId="07268BAE" w14:textId="4CA82A7F" w:rsidR="00AE3243" w:rsidRPr="00AE3243" w:rsidRDefault="00AE3243" w:rsidP="00AE3243">
      <w:pPr>
        <w:spacing w:before="240"/>
        <w:ind w:left="360" w:right="360"/>
        <w:jc w:val="both"/>
        <w:rPr>
          <w:rFonts w:ascii="Times New Roman" w:hAnsi="Times New Roman" w:cs="Times New Roman"/>
        </w:rPr>
      </w:pPr>
      <w:r>
        <w:rPr>
          <w:rFonts w:ascii="Times New Roman" w:hAnsi="Times New Roman" w:cs="Times New Roman"/>
        </w:rPr>
        <w:t>“</w:t>
      </w:r>
      <w:r w:rsidRPr="00AE3243">
        <w:rPr>
          <w:rFonts w:ascii="Times New Roman" w:hAnsi="Times New Roman" w:cs="Times New Roman"/>
        </w:rPr>
        <w:t>Voltage limits are expressed as a percentage of the nominal system voltage value. Steady-state voltage</w:t>
      </w:r>
      <w:r>
        <w:rPr>
          <w:rFonts w:ascii="Times New Roman" w:hAnsi="Times New Roman" w:cs="Times New Roman"/>
        </w:rPr>
        <w:t xml:space="preserve"> </w:t>
      </w:r>
      <w:r w:rsidRPr="00AE3243">
        <w:rPr>
          <w:rFonts w:ascii="Times New Roman" w:hAnsi="Times New Roman" w:cs="Times New Roman"/>
        </w:rPr>
        <w:t>tolerance, steady-state voltage range and steady-state voltage ripple are in root mean square (rms). Steady</w:t>
      </w:r>
      <w:r w:rsidR="00412C71">
        <w:rPr>
          <w:rFonts w:ascii="Times New Roman" w:hAnsi="Times New Roman" w:cs="Times New Roman"/>
        </w:rPr>
        <w:t>-</w:t>
      </w:r>
      <w:r w:rsidRPr="00AE3243">
        <w:rPr>
          <w:rFonts w:ascii="Times New Roman" w:hAnsi="Times New Roman" w:cs="Times New Roman"/>
        </w:rPr>
        <w:t>state</w:t>
      </w:r>
      <w:r>
        <w:rPr>
          <w:rFonts w:ascii="Times New Roman" w:hAnsi="Times New Roman" w:cs="Times New Roman"/>
        </w:rPr>
        <w:t xml:space="preserve"> </w:t>
      </w:r>
      <w:r w:rsidRPr="00AE3243">
        <w:rPr>
          <w:rFonts w:ascii="Times New Roman" w:hAnsi="Times New Roman" w:cs="Times New Roman"/>
        </w:rPr>
        <w:t>peak-to-peak voltage deviation and voltage transient tolerance are instantaneous values.</w:t>
      </w:r>
    </w:p>
    <w:p w14:paraId="6CC948D5" w14:textId="77777777" w:rsidR="00AE3243" w:rsidRPr="00AE3243" w:rsidRDefault="00AE3243" w:rsidP="00AE3243">
      <w:pPr>
        <w:spacing w:before="240"/>
        <w:ind w:left="360" w:right="360"/>
        <w:jc w:val="both"/>
        <w:rPr>
          <w:rFonts w:ascii="Times New Roman" w:hAnsi="Times New Roman" w:cs="Times New Roman"/>
        </w:rPr>
      </w:pPr>
      <w:r w:rsidRPr="00AE3243">
        <w:rPr>
          <w:rFonts w:ascii="Times New Roman" w:hAnsi="Times New Roman" w:cs="Times New Roman"/>
        </w:rPr>
        <w:t>Steady-state voltage ripple is the rms value of the non-dc periodic component of the voltage.</w:t>
      </w:r>
    </w:p>
    <w:p w14:paraId="4C7019E5" w14:textId="03D3E9A1" w:rsidR="00AE3243" w:rsidRDefault="00AE3243" w:rsidP="00AE3243">
      <w:pPr>
        <w:spacing w:before="240"/>
        <w:ind w:left="360" w:right="360"/>
        <w:jc w:val="both"/>
        <w:rPr>
          <w:rFonts w:ascii="Times New Roman" w:hAnsi="Times New Roman" w:cs="Times New Roman"/>
        </w:rPr>
      </w:pPr>
      <w:r w:rsidRPr="00AE3243">
        <w:rPr>
          <w:rFonts w:ascii="Times New Roman" w:hAnsi="Times New Roman" w:cs="Times New Roman"/>
        </w:rPr>
        <w:lastRenderedPageBreak/>
        <w:t>Steady-state peak-to-peak voltage deviation is the magnitude of the difference between the maximum and</w:t>
      </w:r>
      <w:r>
        <w:rPr>
          <w:rFonts w:ascii="Times New Roman" w:hAnsi="Times New Roman" w:cs="Times New Roman"/>
        </w:rPr>
        <w:t xml:space="preserve"> </w:t>
      </w:r>
      <w:r w:rsidRPr="00AE3243">
        <w:rPr>
          <w:rFonts w:ascii="Times New Roman" w:hAnsi="Times New Roman" w:cs="Times New Roman"/>
        </w:rPr>
        <w:t>the minimum instantaneous voltage in steady-state conditions. It includes both periodic and random</w:t>
      </w:r>
      <w:r>
        <w:rPr>
          <w:rFonts w:ascii="Times New Roman" w:hAnsi="Times New Roman" w:cs="Times New Roman"/>
        </w:rPr>
        <w:t xml:space="preserve"> </w:t>
      </w:r>
      <w:r w:rsidRPr="00AE3243">
        <w:rPr>
          <w:rFonts w:ascii="Times New Roman" w:hAnsi="Times New Roman" w:cs="Times New Roman"/>
        </w:rPr>
        <w:t>deviations, often referred to as PARD.</w:t>
      </w:r>
      <w:r>
        <w:rPr>
          <w:rFonts w:ascii="Times New Roman" w:hAnsi="Times New Roman" w:cs="Times New Roman"/>
        </w:rPr>
        <w:t>”</w:t>
      </w:r>
    </w:p>
    <w:p w14:paraId="7469B929" w14:textId="424BD2F4" w:rsidR="00AE3243" w:rsidRDefault="00AE3243" w:rsidP="00AE3243">
      <w:pPr>
        <w:pStyle w:val="Caption"/>
        <w:keepNext/>
        <w:jc w:val="center"/>
      </w:pPr>
      <w:bookmarkStart w:id="1" w:name="_Ref240909041"/>
      <w:r>
        <w:t xml:space="preserve">Table </w:t>
      </w:r>
      <w:fldSimple w:instr=" SEQ Table \* ROMAN ">
        <w:r w:rsidR="00EF41D9">
          <w:rPr>
            <w:noProof/>
          </w:rPr>
          <w:t>II</w:t>
        </w:r>
      </w:fldSimple>
      <w:bookmarkEnd w:id="1"/>
      <w:r>
        <w:t>: IEEE Std. 45.1 Direct current (dc) power characteristics)</w:t>
      </w:r>
    </w:p>
    <w:p w14:paraId="34460ECF" w14:textId="6F3E1C75" w:rsidR="00AE3243" w:rsidRDefault="00AE3243" w:rsidP="00AE3243">
      <w:pPr>
        <w:spacing w:before="240"/>
        <w:ind w:left="270" w:right="360"/>
        <w:jc w:val="center"/>
        <w:rPr>
          <w:rFonts w:ascii="Times New Roman" w:hAnsi="Times New Roman" w:cs="Times New Roman"/>
        </w:rPr>
      </w:pPr>
      <w:r w:rsidRPr="00AE3243">
        <w:rPr>
          <w:rFonts w:ascii="Times New Roman" w:hAnsi="Times New Roman" w:cs="Times New Roman"/>
          <w:noProof/>
        </w:rPr>
        <w:drawing>
          <wp:inline distT="0" distB="0" distL="0" distR="0" wp14:anchorId="119C1EB0" wp14:editId="4D73F15A">
            <wp:extent cx="3657600" cy="1391920"/>
            <wp:effectExtent l="0" t="0" r="0" b="0"/>
            <wp:docPr id="64271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15100" name=""/>
                    <pic:cNvPicPr/>
                  </pic:nvPicPr>
                  <pic:blipFill>
                    <a:blip r:embed="rId9"/>
                    <a:stretch>
                      <a:fillRect/>
                    </a:stretch>
                  </pic:blipFill>
                  <pic:spPr>
                    <a:xfrm>
                      <a:off x="0" y="0"/>
                      <a:ext cx="3657600" cy="1391920"/>
                    </a:xfrm>
                    <a:prstGeom prst="rect">
                      <a:avLst/>
                    </a:prstGeom>
                  </pic:spPr>
                </pic:pic>
              </a:graphicData>
            </a:graphic>
          </wp:inline>
        </w:drawing>
      </w:r>
    </w:p>
    <w:p w14:paraId="0ABE7B76" w14:textId="5BE327D6"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IEEE Std</w:t>
      </w:r>
      <w:r w:rsidR="0060216D">
        <w:rPr>
          <w:rFonts w:ascii="Times New Roman" w:hAnsi="Times New Roman" w:cs="Times New Roman"/>
        </w:rPr>
        <w:t>.</w:t>
      </w:r>
      <w:r>
        <w:rPr>
          <w:rFonts w:ascii="Times New Roman" w:hAnsi="Times New Roman" w:cs="Times New Roman"/>
        </w:rPr>
        <w:t xml:space="preserve"> 1709</w:t>
      </w:r>
    </w:p>
    <w:p w14:paraId="03F4C487" w14:textId="73D0E2CA" w:rsidR="00F10673" w:rsidRPr="00F10673" w:rsidRDefault="00F10673" w:rsidP="00F10673">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_Ref240948869 \h  \* MERGEFORMAT </w:instrText>
      </w:r>
      <w:r>
        <w:rPr>
          <w:rFonts w:ascii="Times New Roman" w:hAnsi="Times New Roman" w:cs="Times New Roman"/>
        </w:rPr>
      </w:r>
      <w:r>
        <w:rPr>
          <w:rFonts w:ascii="Times New Roman" w:hAnsi="Times New Roman" w:cs="Times New Roman"/>
        </w:rPr>
        <w:fldChar w:fldCharType="separate"/>
      </w:r>
      <w:r w:rsidRPr="00F10673">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xml:space="preserve"> depicts medium voltage dc (1 kV and above) voltage tolerances as specified in IEEE Std. 1709.</w:t>
      </w:r>
    </w:p>
    <w:p w14:paraId="06CC5AE9" w14:textId="77777777" w:rsidR="00F10673" w:rsidRDefault="00F10673" w:rsidP="00F10673">
      <w:pPr>
        <w:keepNext/>
        <w:spacing w:before="240"/>
        <w:ind w:left="360"/>
        <w:jc w:val="center"/>
      </w:pPr>
      <w:r w:rsidRPr="00F10673">
        <w:rPr>
          <w:rFonts w:ascii="Times New Roman" w:hAnsi="Times New Roman" w:cs="Times New Roman"/>
          <w:noProof/>
        </w:rPr>
        <w:drawing>
          <wp:inline distT="0" distB="0" distL="0" distR="0" wp14:anchorId="2DE74DE9" wp14:editId="03757D93">
            <wp:extent cx="3657600" cy="2826825"/>
            <wp:effectExtent l="0" t="0" r="0" b="0"/>
            <wp:docPr id="1999691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2826825"/>
                    </a:xfrm>
                    <a:prstGeom prst="rect">
                      <a:avLst/>
                    </a:prstGeom>
                    <a:noFill/>
                    <a:ln>
                      <a:noFill/>
                    </a:ln>
                  </pic:spPr>
                </pic:pic>
              </a:graphicData>
            </a:graphic>
          </wp:inline>
        </w:drawing>
      </w:r>
    </w:p>
    <w:p w14:paraId="48931444" w14:textId="568DC719" w:rsidR="003521A2" w:rsidRDefault="00F10673" w:rsidP="00F10673">
      <w:pPr>
        <w:pStyle w:val="Caption"/>
        <w:jc w:val="center"/>
      </w:pPr>
      <w:bookmarkStart w:id="2" w:name="_Ref240948869"/>
      <w:r>
        <w:t xml:space="preserve">Figure </w:t>
      </w:r>
      <w:fldSimple w:instr=" SEQ Figure \* ARABIC ">
        <w:r>
          <w:rPr>
            <w:noProof/>
          </w:rPr>
          <w:t>1</w:t>
        </w:r>
      </w:fldSimple>
      <w:bookmarkEnd w:id="2"/>
      <w:r>
        <w:t>: IEEE Std. 1709 MVDC voltage tolerances worst case envelope</w:t>
      </w:r>
    </w:p>
    <w:p w14:paraId="1EC053D5" w14:textId="715373C7" w:rsidR="00F10673" w:rsidRDefault="00F10673" w:rsidP="00F10673">
      <w:pPr>
        <w:spacing w:before="240"/>
        <w:ind w:left="360"/>
        <w:jc w:val="both"/>
        <w:rPr>
          <w:rFonts w:ascii="Times New Roman" w:hAnsi="Times New Roman" w:cs="Times New Roman"/>
        </w:rPr>
      </w:pPr>
      <w:r>
        <w:rPr>
          <w:rFonts w:ascii="Times New Roman" w:hAnsi="Times New Roman" w:cs="Times New Roman"/>
        </w:rPr>
        <w:t>IEEE Std. 1709 also provides the guidance on ripple:</w:t>
      </w:r>
    </w:p>
    <w:p w14:paraId="381E3C3C" w14:textId="6837BBD6" w:rsidR="00F10673" w:rsidRDefault="00F10673" w:rsidP="00F10673">
      <w:pPr>
        <w:spacing w:before="240"/>
        <w:ind w:left="720" w:right="360"/>
        <w:jc w:val="both"/>
        <w:rPr>
          <w:rFonts w:ascii="Times New Roman" w:hAnsi="Times New Roman" w:cs="Times New Roman"/>
        </w:rPr>
      </w:pPr>
      <w:r>
        <w:rPr>
          <w:rFonts w:ascii="Times New Roman" w:hAnsi="Times New Roman" w:cs="Times New Roman"/>
        </w:rPr>
        <w:t>“</w:t>
      </w:r>
      <w:r w:rsidRPr="00F10673">
        <w:rPr>
          <w:rFonts w:ascii="Times New Roman" w:hAnsi="Times New Roman" w:cs="Times New Roman"/>
        </w:rPr>
        <w:t>The acceptable rms value of ripple voltage and load induced noise should not exceed 5% per unit.</w:t>
      </w:r>
      <w:r>
        <w:rPr>
          <w:rFonts w:ascii="Times New Roman" w:hAnsi="Times New Roman" w:cs="Times New Roman"/>
        </w:rPr>
        <w:t>”</w:t>
      </w:r>
    </w:p>
    <w:p w14:paraId="4D7D4999" w14:textId="2DD65725"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lastRenderedPageBreak/>
        <w:t>MIL-STD-1399-300</w:t>
      </w:r>
      <w:r w:rsidR="0091237C">
        <w:rPr>
          <w:rFonts w:ascii="Times New Roman" w:hAnsi="Times New Roman" w:cs="Times New Roman"/>
        </w:rPr>
        <w:t>-1</w:t>
      </w:r>
    </w:p>
    <w:p w14:paraId="7AA46248" w14:textId="447A2D45" w:rsidR="00EF41D9" w:rsidRDefault="00EF41D9" w:rsidP="00EF41D9">
      <w:pPr>
        <w:spacing w:before="2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_Ref240988618 \h  \* MERGEFORMAT </w:instrText>
      </w:r>
      <w:r>
        <w:rPr>
          <w:rFonts w:ascii="Times New Roman" w:hAnsi="Times New Roman" w:cs="Times New Roman"/>
        </w:rPr>
      </w:r>
      <w:r>
        <w:rPr>
          <w:rFonts w:ascii="Times New Roman" w:hAnsi="Times New Roman" w:cs="Times New Roman"/>
        </w:rPr>
        <w:fldChar w:fldCharType="separate"/>
      </w:r>
      <w:r w:rsidRPr="00EF41D9">
        <w:rPr>
          <w:rFonts w:ascii="Times New Roman" w:hAnsi="Times New Roman" w:cs="Times New Roman"/>
        </w:rPr>
        <w:t>Table III</w:t>
      </w:r>
      <w:r>
        <w:rPr>
          <w:rFonts w:ascii="Times New Roman" w:hAnsi="Times New Roman" w:cs="Times New Roman"/>
        </w:rPr>
        <w:fldChar w:fldCharType="end"/>
      </w:r>
      <w:r>
        <w:rPr>
          <w:rFonts w:ascii="Times New Roman" w:hAnsi="Times New Roman" w:cs="Times New Roman"/>
        </w:rPr>
        <w:t xml:space="preserve"> </w:t>
      </w:r>
      <w:r w:rsidRPr="00EF41D9">
        <w:rPr>
          <w:rFonts w:ascii="Times New Roman" w:hAnsi="Times New Roman" w:cs="Times New Roman"/>
        </w:rPr>
        <w:t xml:space="preserve">depicts power quality requirements defined in </w:t>
      </w:r>
      <w:r>
        <w:rPr>
          <w:rFonts w:ascii="Times New Roman" w:hAnsi="Times New Roman" w:cs="Times New Roman"/>
        </w:rPr>
        <w:t>MIL-STD-1399-300-1</w:t>
      </w:r>
      <w:r w:rsidRPr="00EF41D9">
        <w:rPr>
          <w:rFonts w:ascii="Times New Roman" w:hAnsi="Times New Roman" w:cs="Times New Roman"/>
        </w:rPr>
        <w:t xml:space="preserve"> for </w:t>
      </w:r>
      <w:r>
        <w:rPr>
          <w:rFonts w:ascii="Times New Roman" w:hAnsi="Times New Roman" w:cs="Times New Roman"/>
        </w:rPr>
        <w:t xml:space="preserve">low voltage </w:t>
      </w:r>
      <w:r w:rsidRPr="00EF41D9">
        <w:rPr>
          <w:rFonts w:ascii="Times New Roman" w:hAnsi="Times New Roman" w:cs="Times New Roman"/>
        </w:rPr>
        <w:t xml:space="preserve">ac power.  </w:t>
      </w:r>
      <w:r w:rsidR="00E23643">
        <w:rPr>
          <w:rFonts w:ascii="Times New Roman" w:hAnsi="Times New Roman" w:cs="Times New Roman"/>
        </w:rPr>
        <w:t xml:space="preserve">Definitions are generally consistent with IEEE Std. 45.1; </w:t>
      </w:r>
      <w:r>
        <w:rPr>
          <w:rFonts w:ascii="Times New Roman" w:hAnsi="Times New Roman" w:cs="Times New Roman"/>
        </w:rPr>
        <w:t>MIL-STD-1399-300-1</w:t>
      </w:r>
      <w:r w:rsidRPr="00EF41D9">
        <w:rPr>
          <w:rFonts w:ascii="Times New Roman" w:hAnsi="Times New Roman" w:cs="Times New Roman"/>
        </w:rPr>
        <w:t xml:space="preserve"> provides the following </w:t>
      </w:r>
      <w:r w:rsidR="00E23643">
        <w:rPr>
          <w:rFonts w:ascii="Times New Roman" w:hAnsi="Times New Roman" w:cs="Times New Roman"/>
        </w:rPr>
        <w:t xml:space="preserve">additional </w:t>
      </w:r>
      <w:r w:rsidRPr="00EF41D9">
        <w:rPr>
          <w:rFonts w:ascii="Times New Roman" w:hAnsi="Times New Roman" w:cs="Times New Roman"/>
        </w:rPr>
        <w:t>definitions:</w:t>
      </w:r>
    </w:p>
    <w:p w14:paraId="6E931387" w14:textId="11993D2E" w:rsidR="00E23643" w:rsidRDefault="00F70673" w:rsidP="00F70673">
      <w:pPr>
        <w:pStyle w:val="Default"/>
        <w:ind w:left="360" w:right="360"/>
        <w:jc w:val="both"/>
        <w:rPr>
          <w:sz w:val="20"/>
          <w:szCs w:val="20"/>
        </w:rPr>
      </w:pPr>
      <w:r>
        <w:rPr>
          <w:sz w:val="20"/>
          <w:szCs w:val="20"/>
        </w:rPr>
        <w:t>“</w:t>
      </w:r>
      <w:r w:rsidR="00E23643">
        <w:rPr>
          <w:sz w:val="20"/>
          <w:szCs w:val="20"/>
        </w:rPr>
        <w:t xml:space="preserve">3.4.3 </w:t>
      </w:r>
      <w:r w:rsidR="00E23643" w:rsidRPr="00E23643">
        <w:rPr>
          <w:sz w:val="20"/>
          <w:szCs w:val="20"/>
          <w:u w:val="single"/>
        </w:rPr>
        <w:t>Frequency tolerance</w:t>
      </w:r>
      <w:r w:rsidR="00E23643" w:rsidRPr="00E23643">
        <w:rPr>
          <w:sz w:val="20"/>
          <w:szCs w:val="20"/>
        </w:rPr>
        <w:t xml:space="preserve">. Frequency tolerance is the allowed variation from nominal frequency expressed as a percent of the nominal frequency; the permitted tolerance is provided in </w:t>
      </w:r>
      <w:r w:rsidR="00E23643">
        <w:rPr>
          <w:sz w:val="20"/>
          <w:szCs w:val="20"/>
        </w:rPr>
        <w:t>(</w:t>
      </w:r>
      <w:r w:rsidR="00E23643">
        <w:rPr>
          <w:sz w:val="20"/>
          <w:szCs w:val="20"/>
        </w:rPr>
        <w:fldChar w:fldCharType="begin"/>
      </w:r>
      <w:r w:rsidR="00E23643">
        <w:rPr>
          <w:sz w:val="20"/>
          <w:szCs w:val="20"/>
        </w:rPr>
        <w:instrText xml:space="preserve"> REF _Ref240988618 \h  \* MERGEFORMAT </w:instrText>
      </w:r>
      <w:r w:rsidR="00E23643">
        <w:rPr>
          <w:sz w:val="20"/>
          <w:szCs w:val="20"/>
        </w:rPr>
      </w:r>
      <w:r w:rsidR="00E23643">
        <w:rPr>
          <w:sz w:val="20"/>
          <w:szCs w:val="20"/>
        </w:rPr>
        <w:fldChar w:fldCharType="separate"/>
      </w:r>
      <w:r w:rsidR="00E23643" w:rsidRPr="00E23643">
        <w:rPr>
          <w:sz w:val="20"/>
          <w:szCs w:val="20"/>
        </w:rPr>
        <w:t>Table III</w:t>
      </w:r>
      <w:r w:rsidR="00E23643">
        <w:rPr>
          <w:sz w:val="20"/>
          <w:szCs w:val="20"/>
        </w:rPr>
        <w:fldChar w:fldCharType="end"/>
      </w:r>
      <w:r w:rsidR="00E23643">
        <w:rPr>
          <w:sz w:val="20"/>
          <w:szCs w:val="20"/>
        </w:rPr>
        <w:t>)</w:t>
      </w:r>
      <w:r w:rsidR="00E23643" w:rsidRPr="00E23643">
        <w:rPr>
          <w:sz w:val="20"/>
          <w:szCs w:val="20"/>
        </w:rPr>
        <w:t xml:space="preserve">, Item 3. This tolerance is the maximum permitted value during normal operation including variations caused by small load changes, environmental effects (temperature, humidity, vibration, and inclination), and drift, excluding modulation and transients. The frequency tolerance may be calculated using </w:t>
      </w:r>
      <w:r w:rsidR="00E23643">
        <w:rPr>
          <w:sz w:val="20"/>
          <w:szCs w:val="20"/>
        </w:rPr>
        <w:t>(the following equation)</w:t>
      </w:r>
      <w:r w:rsidR="00E23643" w:rsidRPr="00E23643">
        <w:rPr>
          <w:sz w:val="20"/>
          <w:szCs w:val="20"/>
        </w:rPr>
        <w:t>.</w:t>
      </w:r>
    </w:p>
    <w:p w14:paraId="1D078963" w14:textId="2246E665" w:rsidR="00F70673" w:rsidRPr="00F70673" w:rsidRDefault="00F70673" w:rsidP="00F70673">
      <w:pPr>
        <w:spacing w:before="240"/>
        <w:ind w:left="720" w:right="360"/>
        <w:jc w:val="both"/>
        <w:rPr>
          <w:rFonts w:ascii="Times New Roman" w:hAnsi="Times New Roman" w:cs="Times New Roman"/>
          <w:sz w:val="20"/>
          <w:szCs w:val="20"/>
        </w:rPr>
      </w:pPr>
      <w:r w:rsidRPr="00F70673">
        <w:rPr>
          <w:rFonts w:ascii="Times New Roman" w:hAnsi="Times New Roman" w:cs="Times New Roman"/>
          <w:sz w:val="20"/>
          <w:szCs w:val="20"/>
        </w:rPr>
        <w:t>Frequency tolerance (</w:t>
      </w:r>
      <w:r>
        <w:rPr>
          <w:rFonts w:ascii="Times New Roman" w:hAnsi="Times New Roman" w:cs="Times New Roman"/>
          <w:sz w:val="20"/>
          <w:szCs w:val="20"/>
        </w:rPr>
        <w:t>percent</w:t>
      </w:r>
      <w:r w:rsidRPr="00F70673">
        <w:rPr>
          <w:rFonts w:ascii="Times New Roman" w:hAnsi="Times New Roman" w:cs="Times New Roman"/>
          <w:sz w:val="20"/>
          <w:szCs w:val="20"/>
        </w:rPr>
        <w:t xml:space="preserve">) = </w:t>
      </w:r>
      <m:oMath>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measured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nominal</m:t>
                    </m:r>
                  </m:sub>
                </m:sSub>
              </m:num>
              <m:den>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nominal</m:t>
                    </m:r>
                  </m:sub>
                </m:sSub>
              </m:den>
            </m:f>
          </m:e>
        </m:d>
        <m:r>
          <w:rPr>
            <w:rFonts w:ascii="Cambria Math" w:hAnsi="Cambria Math" w:cs="Times New Roman"/>
            <w:sz w:val="20"/>
            <w:szCs w:val="20"/>
          </w:rPr>
          <m:t>×100</m:t>
        </m:r>
      </m:oMath>
    </w:p>
    <w:p w14:paraId="77D90327" w14:textId="77777777" w:rsidR="00E23643" w:rsidRPr="00E23643" w:rsidRDefault="00E23643" w:rsidP="00F70673">
      <w:pPr>
        <w:pStyle w:val="Default"/>
        <w:ind w:left="360"/>
        <w:rPr>
          <w:sz w:val="20"/>
          <w:szCs w:val="20"/>
        </w:rPr>
      </w:pPr>
      <w:r w:rsidRPr="00E23643">
        <w:rPr>
          <w:sz w:val="20"/>
          <w:szCs w:val="20"/>
        </w:rPr>
        <w:t>Where:</w:t>
      </w:r>
    </w:p>
    <w:p w14:paraId="3FC82E07" w14:textId="77777777" w:rsidR="00F70673" w:rsidRDefault="00E23643" w:rsidP="00F70673">
      <w:pPr>
        <w:pStyle w:val="Default"/>
        <w:spacing w:after="240"/>
        <w:ind w:left="720"/>
        <w:rPr>
          <w:sz w:val="20"/>
          <w:szCs w:val="20"/>
        </w:rPr>
      </w:pPr>
      <w:proofErr w:type="spellStart"/>
      <w:r w:rsidRPr="00F70673">
        <w:rPr>
          <w:i/>
          <w:iCs/>
          <w:sz w:val="20"/>
          <w:szCs w:val="20"/>
        </w:rPr>
        <w:t>f</w:t>
      </w:r>
      <w:r w:rsidRPr="00F70673">
        <w:rPr>
          <w:i/>
          <w:iCs/>
          <w:sz w:val="20"/>
          <w:szCs w:val="20"/>
          <w:vertAlign w:val="subscript"/>
        </w:rPr>
        <w:t>measured</w:t>
      </w:r>
      <w:proofErr w:type="spellEnd"/>
      <w:r w:rsidRPr="00E23643">
        <w:rPr>
          <w:sz w:val="20"/>
          <w:szCs w:val="20"/>
        </w:rPr>
        <w:t xml:space="preserve"> is the measured frequency and </w:t>
      </w:r>
      <w:proofErr w:type="spellStart"/>
      <w:r w:rsidRPr="00F70673">
        <w:rPr>
          <w:i/>
          <w:iCs/>
          <w:sz w:val="20"/>
          <w:szCs w:val="20"/>
        </w:rPr>
        <w:t>f</w:t>
      </w:r>
      <w:r w:rsidRPr="00F70673">
        <w:rPr>
          <w:i/>
          <w:iCs/>
          <w:sz w:val="20"/>
          <w:szCs w:val="20"/>
          <w:vertAlign w:val="subscript"/>
        </w:rPr>
        <w:t>nominal</w:t>
      </w:r>
      <w:proofErr w:type="spellEnd"/>
      <w:r w:rsidRPr="00E23643">
        <w:rPr>
          <w:sz w:val="20"/>
          <w:szCs w:val="20"/>
        </w:rPr>
        <w:t xml:space="preserve"> is the nominal frequency </w:t>
      </w:r>
    </w:p>
    <w:p w14:paraId="3FE80547" w14:textId="09BC6C1D" w:rsidR="00F70673" w:rsidRDefault="00F70673" w:rsidP="00F70673">
      <w:pPr>
        <w:pStyle w:val="Default"/>
        <w:ind w:left="360" w:right="360"/>
        <w:jc w:val="both"/>
        <w:rPr>
          <w:sz w:val="20"/>
          <w:szCs w:val="20"/>
        </w:rPr>
      </w:pPr>
      <w:r>
        <w:rPr>
          <w:sz w:val="20"/>
          <w:szCs w:val="20"/>
        </w:rPr>
        <w:t xml:space="preserve">3.4.4.1 </w:t>
      </w:r>
      <w:r w:rsidRPr="00F70673">
        <w:rPr>
          <w:sz w:val="20"/>
          <w:szCs w:val="20"/>
          <w:u w:val="single"/>
        </w:rPr>
        <w:t>Frequency transient tolerance</w:t>
      </w:r>
      <w:r>
        <w:rPr>
          <w:sz w:val="20"/>
          <w:szCs w:val="20"/>
        </w:rPr>
        <w:t xml:space="preserve">. Frequency transient tolerance is the allowed variation from nominal frequency expressed as a percent of the nominal frequency during transient conditions; .... </w:t>
      </w:r>
    </w:p>
    <w:p w14:paraId="4CF589C9" w14:textId="42E9EAF8" w:rsidR="00F70673" w:rsidRPr="00F70673" w:rsidRDefault="00F70673" w:rsidP="00F70673">
      <w:pPr>
        <w:spacing w:before="240"/>
        <w:ind w:left="720" w:right="360"/>
        <w:jc w:val="both"/>
        <w:rPr>
          <w:rFonts w:ascii="Times New Roman" w:hAnsi="Times New Roman" w:cs="Times New Roman"/>
          <w:sz w:val="20"/>
          <w:szCs w:val="20"/>
        </w:rPr>
      </w:pPr>
      <w:r w:rsidRPr="00F70673">
        <w:rPr>
          <w:rFonts w:ascii="Times New Roman" w:hAnsi="Times New Roman" w:cs="Times New Roman"/>
          <w:sz w:val="20"/>
          <w:szCs w:val="20"/>
        </w:rPr>
        <w:t>Frequency transient tolerance (</w:t>
      </w:r>
      <w:r w:rsidR="0023093C">
        <w:rPr>
          <w:rFonts w:ascii="Times New Roman" w:hAnsi="Times New Roman" w:cs="Times New Roman"/>
          <w:sz w:val="20"/>
          <w:szCs w:val="20"/>
        </w:rPr>
        <w:t>percent</w:t>
      </w:r>
      <w:r w:rsidRPr="00F70673">
        <w:rPr>
          <w:rFonts w:ascii="Times New Roman" w:hAnsi="Times New Roman" w:cs="Times New Roman"/>
          <w:sz w:val="20"/>
          <w:szCs w:val="20"/>
        </w:rPr>
        <w:t xml:space="preserve">) = </w:t>
      </w:r>
      <m:oMath>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transient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nominal</m:t>
                    </m:r>
                  </m:sub>
                </m:sSub>
              </m:num>
              <m:den>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nominal</m:t>
                    </m:r>
                  </m:sub>
                </m:sSub>
              </m:den>
            </m:f>
          </m:e>
        </m:d>
        <m:r>
          <w:rPr>
            <w:rFonts w:ascii="Cambria Math" w:hAnsi="Cambria Math" w:cs="Times New Roman"/>
            <w:sz w:val="20"/>
            <w:szCs w:val="20"/>
          </w:rPr>
          <m:t>×100</m:t>
        </m:r>
      </m:oMath>
    </w:p>
    <w:p w14:paraId="46E19891" w14:textId="77777777" w:rsidR="00F70673" w:rsidRPr="00E23643" w:rsidRDefault="00F70673" w:rsidP="00F70673">
      <w:pPr>
        <w:pStyle w:val="Default"/>
        <w:ind w:left="360"/>
        <w:rPr>
          <w:sz w:val="20"/>
          <w:szCs w:val="20"/>
        </w:rPr>
      </w:pPr>
      <w:r w:rsidRPr="00E23643">
        <w:rPr>
          <w:sz w:val="20"/>
          <w:szCs w:val="20"/>
        </w:rPr>
        <w:t>Where:</w:t>
      </w:r>
    </w:p>
    <w:p w14:paraId="57A6DB80" w14:textId="3A7DFC3B" w:rsidR="00F70673" w:rsidRDefault="00F70673" w:rsidP="00F70673">
      <w:pPr>
        <w:pStyle w:val="Default"/>
        <w:spacing w:after="240"/>
        <w:ind w:left="720"/>
        <w:rPr>
          <w:sz w:val="20"/>
          <w:szCs w:val="20"/>
        </w:rPr>
      </w:pPr>
      <w:proofErr w:type="spellStart"/>
      <w:r>
        <w:rPr>
          <w:i/>
          <w:iCs/>
          <w:sz w:val="20"/>
          <w:szCs w:val="20"/>
        </w:rPr>
        <w:t>f</w:t>
      </w:r>
      <w:r>
        <w:rPr>
          <w:i/>
          <w:iCs/>
          <w:sz w:val="20"/>
          <w:szCs w:val="20"/>
          <w:vertAlign w:val="subscript"/>
        </w:rPr>
        <w:t>transient</w:t>
      </w:r>
      <w:proofErr w:type="spellEnd"/>
      <w:r w:rsidRPr="00E23643">
        <w:rPr>
          <w:sz w:val="20"/>
          <w:szCs w:val="20"/>
        </w:rPr>
        <w:t xml:space="preserve"> is the measured frequency </w:t>
      </w:r>
      <w:r>
        <w:rPr>
          <w:sz w:val="20"/>
          <w:szCs w:val="20"/>
        </w:rPr>
        <w:t xml:space="preserve">transient </w:t>
      </w:r>
      <w:r w:rsidRPr="00E23643">
        <w:rPr>
          <w:sz w:val="20"/>
          <w:szCs w:val="20"/>
        </w:rPr>
        <w:t xml:space="preserve">and </w:t>
      </w:r>
      <w:proofErr w:type="spellStart"/>
      <w:r w:rsidRPr="00F70673">
        <w:rPr>
          <w:i/>
          <w:iCs/>
          <w:sz w:val="20"/>
          <w:szCs w:val="20"/>
        </w:rPr>
        <w:t>f</w:t>
      </w:r>
      <w:r w:rsidRPr="00F70673">
        <w:rPr>
          <w:i/>
          <w:iCs/>
          <w:sz w:val="20"/>
          <w:szCs w:val="20"/>
          <w:vertAlign w:val="subscript"/>
        </w:rPr>
        <w:t>nominal</w:t>
      </w:r>
      <w:proofErr w:type="spellEnd"/>
      <w:r w:rsidRPr="00E23643">
        <w:rPr>
          <w:sz w:val="20"/>
          <w:szCs w:val="20"/>
        </w:rPr>
        <w:t xml:space="preserve"> is the nominal frequency </w:t>
      </w:r>
    </w:p>
    <w:p w14:paraId="62B36883" w14:textId="449D59A5" w:rsidR="00F70673" w:rsidRDefault="00F70673" w:rsidP="00743130">
      <w:pPr>
        <w:pStyle w:val="Default"/>
        <w:spacing w:after="240"/>
        <w:ind w:left="360" w:right="360"/>
        <w:rPr>
          <w:sz w:val="20"/>
          <w:szCs w:val="20"/>
        </w:rPr>
      </w:pPr>
      <w:r>
        <w:rPr>
          <w:sz w:val="20"/>
          <w:szCs w:val="20"/>
        </w:rPr>
        <w:t xml:space="preserve">3.5.2 </w:t>
      </w:r>
      <w:r w:rsidRPr="00F70673">
        <w:rPr>
          <w:sz w:val="20"/>
          <w:szCs w:val="20"/>
          <w:u w:val="single"/>
        </w:rPr>
        <w:t>Voltage unbalance (line-to-line)</w:t>
      </w:r>
      <w:r>
        <w:rPr>
          <w:sz w:val="20"/>
          <w:szCs w:val="20"/>
        </w:rPr>
        <w:t xml:space="preserve">. </w:t>
      </w:r>
      <w:r w:rsidR="00743130">
        <w:rPr>
          <w:sz w:val="20"/>
          <w:szCs w:val="20"/>
        </w:rPr>
        <w:t>(</w:t>
      </w:r>
      <w:r>
        <w:rPr>
          <w:sz w:val="20"/>
          <w:szCs w:val="20"/>
        </w:rPr>
        <w:t xml:space="preserve">See IEEE Std. </w:t>
      </w:r>
      <w:proofErr w:type="gramStart"/>
      <w:r>
        <w:rPr>
          <w:sz w:val="20"/>
          <w:szCs w:val="20"/>
        </w:rPr>
        <w:t>45.1 line</w:t>
      </w:r>
      <w:proofErr w:type="gramEnd"/>
      <w:r>
        <w:rPr>
          <w:sz w:val="20"/>
          <w:szCs w:val="20"/>
        </w:rPr>
        <w:t xml:space="preserve"> voltage unbalance</w:t>
      </w:r>
      <w:r w:rsidR="00743130">
        <w:rPr>
          <w:sz w:val="20"/>
          <w:szCs w:val="20"/>
        </w:rPr>
        <w:t>)</w:t>
      </w:r>
    </w:p>
    <w:p w14:paraId="28ECD647" w14:textId="411448FE" w:rsidR="0023093C" w:rsidRDefault="0023093C" w:rsidP="0023093C">
      <w:pPr>
        <w:pStyle w:val="Default"/>
        <w:ind w:left="360" w:right="360"/>
        <w:jc w:val="both"/>
        <w:rPr>
          <w:sz w:val="20"/>
          <w:szCs w:val="20"/>
        </w:rPr>
      </w:pPr>
      <w:r>
        <w:rPr>
          <w:sz w:val="20"/>
          <w:szCs w:val="20"/>
        </w:rPr>
        <w:t xml:space="preserve">3.5.7.1 </w:t>
      </w:r>
      <w:r w:rsidRPr="0023093C">
        <w:rPr>
          <w:sz w:val="20"/>
          <w:szCs w:val="20"/>
          <w:u w:val="single"/>
        </w:rPr>
        <w:t>Voltage transient tolerance</w:t>
      </w:r>
      <w:r>
        <w:rPr>
          <w:sz w:val="20"/>
          <w:szCs w:val="20"/>
        </w:rPr>
        <w:t xml:space="preserve">. Voltage transient tolerance is the allowed variation from nominal voltage expressed as a percent of the nominal voltage during transient conditions. </w:t>
      </w:r>
    </w:p>
    <w:p w14:paraId="523058EF" w14:textId="48F9D92A" w:rsidR="0023093C" w:rsidRPr="0023093C" w:rsidRDefault="0023093C" w:rsidP="0023093C">
      <w:pPr>
        <w:spacing w:before="240"/>
        <w:ind w:left="720" w:right="360"/>
        <w:jc w:val="both"/>
        <w:rPr>
          <w:rFonts w:ascii="Times New Roman" w:hAnsi="Times New Roman" w:cs="Times New Roman"/>
          <w:sz w:val="20"/>
          <w:szCs w:val="20"/>
        </w:rPr>
      </w:pPr>
      <w:r w:rsidRPr="0023093C">
        <w:rPr>
          <w:rFonts w:ascii="Times New Roman" w:hAnsi="Times New Roman" w:cs="Times New Roman"/>
          <w:sz w:val="20"/>
          <w:szCs w:val="20"/>
        </w:rPr>
        <w:t xml:space="preserve">Voltage transient tolerance (percent) = </w:t>
      </w:r>
      <m:oMath>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transient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nominal</m:t>
                    </m:r>
                  </m:sub>
                </m:sSub>
              </m:num>
              <m:den>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nominal</m:t>
                    </m:r>
                  </m:sub>
                </m:sSub>
              </m:den>
            </m:f>
          </m:e>
        </m:d>
        <m:r>
          <w:rPr>
            <w:rFonts w:ascii="Cambria Math" w:hAnsi="Cambria Math" w:cs="Times New Roman"/>
            <w:sz w:val="20"/>
            <w:szCs w:val="20"/>
          </w:rPr>
          <m:t>×100</m:t>
        </m:r>
      </m:oMath>
    </w:p>
    <w:p w14:paraId="2DE18A64" w14:textId="77777777" w:rsidR="0023093C" w:rsidRDefault="0023093C" w:rsidP="0023093C">
      <w:pPr>
        <w:pStyle w:val="Default"/>
        <w:ind w:left="360" w:right="360"/>
        <w:jc w:val="both"/>
        <w:rPr>
          <w:sz w:val="20"/>
          <w:szCs w:val="20"/>
        </w:rPr>
      </w:pPr>
      <w:r>
        <w:rPr>
          <w:sz w:val="20"/>
          <w:szCs w:val="20"/>
        </w:rPr>
        <w:t xml:space="preserve">3.5.10.3 </w:t>
      </w:r>
      <w:r w:rsidRPr="0023093C">
        <w:rPr>
          <w:sz w:val="20"/>
          <w:szCs w:val="20"/>
          <w:u w:val="single"/>
        </w:rPr>
        <w:t>Voltage total harmonic distortion (THD)</w:t>
      </w:r>
      <w:r>
        <w:rPr>
          <w:sz w:val="20"/>
          <w:szCs w:val="20"/>
        </w:rPr>
        <w:t xml:space="preserve">. The THD of a voltage wave is the ratio in percentage of the rms value of the residue (after elimination of the fundamental) to the rms value of the fundamental </w:t>
      </w:r>
    </w:p>
    <w:p w14:paraId="10E18263" w14:textId="51A5BB3D" w:rsidR="0023093C" w:rsidRPr="0023093C" w:rsidRDefault="0023093C" w:rsidP="0023093C">
      <w:pPr>
        <w:spacing w:before="240"/>
        <w:ind w:left="720" w:right="360"/>
        <w:jc w:val="both"/>
        <w:rPr>
          <w:rFonts w:ascii="Times New Roman" w:hAnsi="Times New Roman" w:cs="Times New Roman"/>
          <w:sz w:val="20"/>
          <w:szCs w:val="20"/>
        </w:rPr>
      </w:pPr>
      <w:r w:rsidRPr="0023093C">
        <w:rPr>
          <w:rFonts w:ascii="Times New Roman" w:hAnsi="Times New Roman" w:cs="Times New Roman"/>
          <w:sz w:val="20"/>
          <w:szCs w:val="20"/>
        </w:rPr>
        <w:t xml:space="preserve">Voltage </w:t>
      </w:r>
      <w:r>
        <w:rPr>
          <w:rFonts w:ascii="Times New Roman" w:hAnsi="Times New Roman" w:cs="Times New Roman"/>
          <w:sz w:val="20"/>
          <w:szCs w:val="20"/>
        </w:rPr>
        <w:t>THD</w:t>
      </w:r>
      <w:r w:rsidRPr="0023093C">
        <w:rPr>
          <w:rFonts w:ascii="Times New Roman" w:hAnsi="Times New Roman" w:cs="Times New Roman"/>
          <w:sz w:val="20"/>
          <w:szCs w:val="20"/>
        </w:rPr>
        <w:t xml:space="preserve"> (percent) = </w:t>
      </w:r>
      <m:oMath>
        <m:r>
          <w:rPr>
            <w:rFonts w:ascii="Cambria Math" w:hAnsi="Cambria Math" w:cs="Times New Roman"/>
            <w:sz w:val="20"/>
            <w:szCs w:val="20"/>
          </w:rPr>
          <m:t>100 ×</m:t>
        </m:r>
        <m:rad>
          <m:radPr>
            <m:degHide m:val="1"/>
            <m:ctrlPr>
              <w:rPr>
                <w:rFonts w:ascii="Cambria Math" w:hAnsi="Cambria Math" w:cs="Times New Roman"/>
                <w:i/>
                <w:sz w:val="20"/>
                <w:szCs w:val="20"/>
              </w:rPr>
            </m:ctrlPr>
          </m:radPr>
          <m:deg/>
          <m:e>
            <m:nary>
              <m:naryPr>
                <m:chr m:val="∑"/>
                <m:limLoc m:val="undOvr"/>
                <m:supHide m:val="1"/>
                <m:ctrlPr>
                  <w:rPr>
                    <w:rFonts w:ascii="Cambria Math" w:hAnsi="Cambria Math" w:cs="Times New Roman"/>
                    <w:i/>
                    <w:sz w:val="20"/>
                    <w:szCs w:val="20"/>
                  </w:rPr>
                </m:ctrlPr>
              </m:naryPr>
              <m:sub>
                <m:r>
                  <w:rPr>
                    <w:rFonts w:ascii="Cambria Math" w:hAnsi="Cambria Math" w:cs="Times New Roman"/>
                    <w:sz w:val="20"/>
                    <w:szCs w:val="20"/>
                  </w:rPr>
                  <m:t>h≥2</m:t>
                </m:r>
              </m:sub>
              <m:sup/>
              <m:e>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h</m:t>
                                </m:r>
                              </m:sub>
                            </m:sSub>
                          </m:num>
                          <m:den>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fundamental</m:t>
                                </m:r>
                              </m:sub>
                            </m:sSub>
                          </m:den>
                        </m:f>
                      </m:e>
                    </m:d>
                  </m:e>
                  <m:sup>
                    <m:r>
                      <w:rPr>
                        <w:rFonts w:ascii="Cambria Math" w:hAnsi="Cambria Math" w:cs="Times New Roman"/>
                        <w:sz w:val="20"/>
                        <w:szCs w:val="20"/>
                      </w:rPr>
                      <m:t>2</m:t>
                    </m:r>
                  </m:sup>
                </m:sSup>
              </m:e>
            </m:nary>
          </m:e>
        </m:rad>
      </m:oMath>
    </w:p>
    <w:p w14:paraId="4A83BB6A" w14:textId="77777777" w:rsidR="0023093C" w:rsidRPr="00E23643" w:rsidRDefault="0023093C" w:rsidP="0023093C">
      <w:pPr>
        <w:pStyle w:val="Default"/>
        <w:ind w:left="360"/>
        <w:rPr>
          <w:sz w:val="20"/>
          <w:szCs w:val="20"/>
        </w:rPr>
      </w:pPr>
      <w:r w:rsidRPr="00E23643">
        <w:rPr>
          <w:sz w:val="20"/>
          <w:szCs w:val="20"/>
        </w:rPr>
        <w:t>Where:</w:t>
      </w:r>
    </w:p>
    <w:p w14:paraId="3AB9ADAC" w14:textId="55D7D674" w:rsidR="0023093C" w:rsidRDefault="0023093C" w:rsidP="0023093C">
      <w:pPr>
        <w:pStyle w:val="Default"/>
        <w:spacing w:after="240"/>
        <w:ind w:left="720"/>
        <w:rPr>
          <w:sz w:val="20"/>
          <w:szCs w:val="20"/>
        </w:rPr>
      </w:pPr>
      <w:proofErr w:type="spellStart"/>
      <w:r>
        <w:rPr>
          <w:i/>
          <w:iCs/>
          <w:sz w:val="20"/>
          <w:szCs w:val="20"/>
        </w:rPr>
        <w:t>V</w:t>
      </w:r>
      <w:r>
        <w:rPr>
          <w:i/>
          <w:iCs/>
          <w:sz w:val="20"/>
          <w:szCs w:val="20"/>
          <w:vertAlign w:val="subscript"/>
        </w:rPr>
        <w:t>h</w:t>
      </w:r>
      <w:proofErr w:type="spellEnd"/>
      <w:r w:rsidRPr="00E23643">
        <w:rPr>
          <w:sz w:val="20"/>
          <w:szCs w:val="20"/>
        </w:rPr>
        <w:t xml:space="preserve"> is the </w:t>
      </w:r>
      <w:r>
        <w:rPr>
          <w:sz w:val="20"/>
          <w:szCs w:val="20"/>
        </w:rPr>
        <w:t>rms voltage of individual harmonics</w:t>
      </w:r>
      <w:r w:rsidRPr="00E23643">
        <w:rPr>
          <w:sz w:val="20"/>
          <w:szCs w:val="20"/>
        </w:rPr>
        <w:t xml:space="preserve"> </w:t>
      </w:r>
    </w:p>
    <w:p w14:paraId="190EF9C5" w14:textId="07BD7905" w:rsidR="00E23643" w:rsidRDefault="0023093C" w:rsidP="0023093C">
      <w:pPr>
        <w:pStyle w:val="Default"/>
        <w:spacing w:after="240"/>
        <w:ind w:left="360" w:right="360"/>
        <w:jc w:val="both"/>
        <w:rPr>
          <w:sz w:val="20"/>
          <w:szCs w:val="20"/>
        </w:rPr>
      </w:pPr>
      <w:r w:rsidRPr="0023093C">
        <w:rPr>
          <w:sz w:val="20"/>
          <w:szCs w:val="20"/>
        </w:rPr>
        <w:t xml:space="preserve">3.5.10.4 </w:t>
      </w:r>
      <w:r w:rsidRPr="0023093C">
        <w:rPr>
          <w:sz w:val="20"/>
          <w:szCs w:val="20"/>
          <w:u w:val="single"/>
        </w:rPr>
        <w:t>Voltage deviation factor</w:t>
      </w:r>
      <w:r w:rsidRPr="0023093C">
        <w:rPr>
          <w:sz w:val="20"/>
          <w:szCs w:val="20"/>
        </w:rPr>
        <w:t xml:space="preserve">. The voltage deviation factor of the voltage waveform is the ratio (a/b) where “a” is the maximum deviation between corresponding ordinates of the waveform and of the equivalent sine wave and “b” is the maximum ordinate of the equivalent sine wave when the waveforms are superimposed in such a way that they make the maximum difference as small as possible. </w:t>
      </w:r>
      <w:r>
        <w:rPr>
          <w:sz w:val="20"/>
          <w:szCs w:val="20"/>
        </w:rPr>
        <w:t xml:space="preserve">… </w:t>
      </w:r>
      <w:r w:rsidRPr="0023093C">
        <w:rPr>
          <w:sz w:val="20"/>
          <w:szCs w:val="20"/>
        </w:rPr>
        <w:t>The equivalent sine wave is defined as having the same frequency and the same rms voltage as the waveform being tested.</w:t>
      </w:r>
    </w:p>
    <w:p w14:paraId="28306E15" w14:textId="229867ED" w:rsidR="0023093C" w:rsidRDefault="0023093C" w:rsidP="0023093C">
      <w:pPr>
        <w:spacing w:before="240"/>
        <w:ind w:left="720" w:right="360"/>
        <w:jc w:val="both"/>
        <w:rPr>
          <w:rFonts w:ascii="Times New Roman" w:eastAsiaTheme="minorEastAsia" w:hAnsi="Times New Roman" w:cs="Times New Roman"/>
          <w:sz w:val="20"/>
          <w:szCs w:val="20"/>
        </w:rPr>
      </w:pPr>
      <w:r w:rsidRPr="0023093C">
        <w:rPr>
          <w:rFonts w:ascii="Times New Roman" w:hAnsi="Times New Roman" w:cs="Times New Roman"/>
          <w:sz w:val="20"/>
          <w:szCs w:val="20"/>
        </w:rPr>
        <w:t xml:space="preserve">Voltage </w:t>
      </w:r>
      <w:r>
        <w:rPr>
          <w:rFonts w:ascii="Times New Roman" w:hAnsi="Times New Roman" w:cs="Times New Roman"/>
          <w:sz w:val="20"/>
          <w:szCs w:val="20"/>
        </w:rPr>
        <w:t>deviation factor</w:t>
      </w:r>
      <w:r w:rsidRPr="0023093C">
        <w:rPr>
          <w:rFonts w:ascii="Times New Roman" w:hAnsi="Times New Roman" w:cs="Times New Roman"/>
          <w:sz w:val="20"/>
          <w:szCs w:val="20"/>
        </w:rPr>
        <w:t xml:space="preserve"> (percent) = </w:t>
      </w:r>
      <m:oMath>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Maximum Deviation</m:t>
                </m:r>
              </m:num>
              <m:den>
                <m:r>
                  <w:rPr>
                    <w:rFonts w:ascii="Cambria Math" w:hAnsi="Cambria Math" w:cs="Times New Roman"/>
                    <w:sz w:val="20"/>
                    <w:szCs w:val="20"/>
                  </w:rPr>
                  <m:t>Maximum ordinate of the equivalent sine wave</m:t>
                </m:r>
              </m:den>
            </m:f>
          </m:e>
        </m:d>
        <m:r>
          <w:rPr>
            <w:rFonts w:ascii="Cambria Math" w:hAnsi="Cambria Math" w:cs="Times New Roman"/>
            <w:sz w:val="20"/>
            <w:szCs w:val="20"/>
          </w:rPr>
          <m:t>×100</m:t>
        </m:r>
      </m:oMath>
      <w:r w:rsidR="00B639EC">
        <w:rPr>
          <w:rFonts w:ascii="Times New Roman" w:eastAsiaTheme="minorEastAsia" w:hAnsi="Times New Roman" w:cs="Times New Roman"/>
          <w:sz w:val="20"/>
          <w:szCs w:val="20"/>
        </w:rPr>
        <w:t>”</w:t>
      </w:r>
    </w:p>
    <w:p w14:paraId="2E4D677E" w14:textId="761A7298" w:rsidR="00B639EC" w:rsidRDefault="00B639EC" w:rsidP="00B639EC">
      <w:pPr>
        <w:spacing w:before="240"/>
        <w:ind w:right="360"/>
        <w:jc w:val="both"/>
        <w:rPr>
          <w:rFonts w:ascii="Times New Roman" w:hAnsi="Times New Roman" w:cs="Times New Roman"/>
          <w:sz w:val="20"/>
          <w:szCs w:val="20"/>
        </w:rPr>
      </w:pPr>
      <w:r>
        <w:rPr>
          <w:rFonts w:ascii="Times New Roman" w:hAnsi="Times New Roman" w:cs="Times New Roman"/>
          <w:sz w:val="20"/>
          <w:szCs w:val="20"/>
        </w:rPr>
        <w:lastRenderedPageBreak/>
        <w:t>MIL-STD-1399-300-1 has specific requirements for the current waveforms that loads should follow.  The most common requirements are …</w:t>
      </w:r>
    </w:p>
    <w:p w14:paraId="6F9F5882" w14:textId="1C2753A7" w:rsidR="00B639EC" w:rsidRPr="00B639EC" w:rsidRDefault="00B639EC" w:rsidP="00B639EC">
      <w:pPr>
        <w:spacing w:before="240"/>
        <w:ind w:left="360" w:right="720"/>
        <w:jc w:val="both"/>
        <w:rPr>
          <w:rFonts w:ascii="Times New Roman" w:hAnsi="Times New Roman" w:cs="Times New Roman"/>
          <w:sz w:val="20"/>
          <w:szCs w:val="20"/>
        </w:rPr>
      </w:pPr>
      <w:r>
        <w:rPr>
          <w:rFonts w:ascii="Times New Roman" w:hAnsi="Times New Roman" w:cs="Times New Roman"/>
          <w:sz w:val="20"/>
          <w:szCs w:val="20"/>
        </w:rPr>
        <w:t>“</w:t>
      </w:r>
      <w:r w:rsidRPr="00B639EC">
        <w:rPr>
          <w:rFonts w:ascii="Times New Roman" w:hAnsi="Times New Roman" w:cs="Times New Roman"/>
          <w:sz w:val="20"/>
          <w:szCs w:val="20"/>
        </w:rPr>
        <w:t xml:space="preserve">5.2.6 </w:t>
      </w:r>
      <w:r w:rsidRPr="00B639EC">
        <w:rPr>
          <w:rFonts w:ascii="Times New Roman" w:hAnsi="Times New Roman" w:cs="Times New Roman"/>
          <w:sz w:val="20"/>
          <w:szCs w:val="20"/>
          <w:u w:val="single"/>
        </w:rPr>
        <w:t>Current (load) unbalance</w:t>
      </w:r>
      <w:r w:rsidRPr="00B639EC">
        <w:rPr>
          <w:rFonts w:ascii="Times New Roman" w:hAnsi="Times New Roman" w:cs="Times New Roman"/>
          <w:sz w:val="20"/>
          <w:szCs w:val="20"/>
        </w:rPr>
        <w:t>. User equipment that is three-phase or comprised of a combination of single-phase and three-phase loads shall have a resulting input three-phase line current unbalance not exceeding 5 percent (submarines 3 percent) using normal operating current under normal operating conditions during normal operating modes. This current shall be measured at nominal voltage in all operating modes with a voltage source having a line voltage unbalance less than 1 percent. Three-phase current unbalance shall be calculated as defined in 3.6.1. This requirement does not apply to aircraft servicing systems that are designed for a maximum current unbalance of 15 percent of the user equipment rating.</w:t>
      </w:r>
    </w:p>
    <w:p w14:paraId="24268DCB" w14:textId="737EB68C" w:rsidR="00B639EC" w:rsidRDefault="00B639EC" w:rsidP="00B639EC">
      <w:pPr>
        <w:spacing w:before="240"/>
        <w:ind w:left="360" w:right="720"/>
        <w:jc w:val="both"/>
        <w:rPr>
          <w:rFonts w:ascii="Times New Roman" w:hAnsi="Times New Roman" w:cs="Times New Roman"/>
          <w:sz w:val="20"/>
          <w:szCs w:val="20"/>
        </w:rPr>
      </w:pPr>
      <w:r w:rsidRPr="00B639EC">
        <w:rPr>
          <w:rFonts w:ascii="Times New Roman" w:hAnsi="Times New Roman" w:cs="Times New Roman"/>
          <w:sz w:val="20"/>
          <w:szCs w:val="20"/>
        </w:rPr>
        <w:t xml:space="preserve">5.2.7 </w:t>
      </w:r>
      <w:r w:rsidRPr="00B639EC">
        <w:rPr>
          <w:rFonts w:ascii="Times New Roman" w:hAnsi="Times New Roman" w:cs="Times New Roman"/>
          <w:sz w:val="20"/>
          <w:szCs w:val="20"/>
          <w:u w:val="single"/>
        </w:rPr>
        <w:t>User equipment pf</w:t>
      </w:r>
      <w:r w:rsidRPr="00B639EC">
        <w:rPr>
          <w:rFonts w:ascii="Times New Roman" w:hAnsi="Times New Roman" w:cs="Times New Roman"/>
          <w:sz w:val="20"/>
          <w:szCs w:val="20"/>
        </w:rPr>
        <w:t>. User equipment shall operate within the user frequency and voltage tolerance envelope of figures 10 through 16 as applicable with a pf within the range of 0.8 lagging to 0.95 leading for 60 Hz and 0.8 lagging to 0.9 leading for 400 Hz under normal steady state operating conditions, excluding start-ups and pulsing loads. There is no pf requirement for loads operating less than 1 kVA.</w:t>
      </w:r>
      <w:r>
        <w:rPr>
          <w:rFonts w:ascii="Times New Roman" w:hAnsi="Times New Roman" w:cs="Times New Roman"/>
          <w:sz w:val="20"/>
          <w:szCs w:val="20"/>
        </w:rPr>
        <w:t>”</w:t>
      </w:r>
    </w:p>
    <w:p w14:paraId="036DD00E" w14:textId="3163F8CC" w:rsidR="00B639EC" w:rsidRPr="0023093C" w:rsidRDefault="00B639EC" w:rsidP="00B639EC">
      <w:pPr>
        <w:spacing w:before="240"/>
        <w:ind w:right="720"/>
        <w:jc w:val="both"/>
        <w:rPr>
          <w:rFonts w:ascii="Times New Roman" w:hAnsi="Times New Roman" w:cs="Times New Roman"/>
          <w:sz w:val="20"/>
          <w:szCs w:val="20"/>
        </w:rPr>
      </w:pPr>
      <w:r>
        <w:rPr>
          <w:rFonts w:ascii="Times New Roman" w:hAnsi="Times New Roman" w:cs="Times New Roman"/>
          <w:sz w:val="20"/>
          <w:szCs w:val="20"/>
        </w:rPr>
        <w:t>Additional requirements are provided for ramp loads and pulsed loads.  The magnitude</w:t>
      </w:r>
      <w:r w:rsidR="009623D6">
        <w:rPr>
          <w:rFonts w:ascii="Times New Roman" w:hAnsi="Times New Roman" w:cs="Times New Roman"/>
          <w:sz w:val="20"/>
          <w:szCs w:val="20"/>
        </w:rPr>
        <w:t>s</w:t>
      </w:r>
      <w:r>
        <w:rPr>
          <w:rFonts w:ascii="Times New Roman" w:hAnsi="Times New Roman" w:cs="Times New Roman"/>
          <w:sz w:val="20"/>
          <w:szCs w:val="20"/>
        </w:rPr>
        <w:t xml:space="preserve"> of non-fundamental frequency components of the current waveform are also limited.</w:t>
      </w:r>
    </w:p>
    <w:p w14:paraId="76FA46EB" w14:textId="19F71A81" w:rsidR="00EF41D9" w:rsidRPr="00EF41D9" w:rsidRDefault="00EF41D9" w:rsidP="00EF41D9">
      <w:pPr>
        <w:pStyle w:val="Caption"/>
        <w:keepNext/>
        <w:rPr>
          <w:rFonts w:ascii="Times New Roman" w:hAnsi="Times New Roman" w:cs="Times New Roman"/>
        </w:rPr>
      </w:pPr>
      <w:bookmarkStart w:id="3" w:name="_Ref240988618"/>
      <w:r>
        <w:t xml:space="preserve">Table </w:t>
      </w:r>
      <w:fldSimple w:instr=" SEQ Table \* ROMAN ">
        <w:r>
          <w:rPr>
            <w:noProof/>
          </w:rPr>
          <w:t>III</w:t>
        </w:r>
      </w:fldSimple>
      <w:bookmarkEnd w:id="3"/>
      <w:r>
        <w:t>: MIL-STD-1399-300-1 Low voltage ac power system characteristics</w:t>
      </w:r>
    </w:p>
    <w:p w14:paraId="5A7D44B4" w14:textId="266D5F09" w:rsidR="003521A2" w:rsidRDefault="00EF41D9" w:rsidP="00EF41D9">
      <w:pPr>
        <w:spacing w:before="240"/>
        <w:ind w:left="360"/>
        <w:jc w:val="center"/>
        <w:rPr>
          <w:rFonts w:ascii="Times New Roman" w:hAnsi="Times New Roman" w:cs="Times New Roman"/>
        </w:rPr>
      </w:pPr>
      <w:r w:rsidRPr="00EF41D9">
        <w:rPr>
          <w:rFonts w:ascii="Times New Roman" w:hAnsi="Times New Roman" w:cs="Times New Roman"/>
          <w:noProof/>
        </w:rPr>
        <w:drawing>
          <wp:inline distT="0" distB="0" distL="0" distR="0" wp14:anchorId="4CE3B596" wp14:editId="33695810">
            <wp:extent cx="3657600" cy="4211161"/>
            <wp:effectExtent l="0" t="0" r="0" b="0"/>
            <wp:docPr id="43732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21114" name=""/>
                    <pic:cNvPicPr/>
                  </pic:nvPicPr>
                  <pic:blipFill rotWithShape="1">
                    <a:blip r:embed="rId11"/>
                    <a:srcRect t="1066"/>
                    <a:stretch>
                      <a:fillRect/>
                    </a:stretch>
                  </pic:blipFill>
                  <pic:spPr bwMode="auto">
                    <a:xfrm>
                      <a:off x="0" y="0"/>
                      <a:ext cx="3657600" cy="4211161"/>
                    </a:xfrm>
                    <a:prstGeom prst="rect">
                      <a:avLst/>
                    </a:prstGeom>
                    <a:ln>
                      <a:noFill/>
                    </a:ln>
                    <a:extLst>
                      <a:ext uri="{53640926-AAD7-44D8-BBD7-CCE9431645EC}">
                        <a14:shadowObscured xmlns:a14="http://schemas.microsoft.com/office/drawing/2010/main"/>
                      </a:ext>
                    </a:extLst>
                  </pic:spPr>
                </pic:pic>
              </a:graphicData>
            </a:graphic>
          </wp:inline>
        </w:drawing>
      </w:r>
    </w:p>
    <w:p w14:paraId="635FEA55" w14:textId="03992338" w:rsidR="0091237C" w:rsidRDefault="0091237C" w:rsidP="0091237C">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lastRenderedPageBreak/>
        <w:t>MIL-STD-1399-300-2</w:t>
      </w:r>
    </w:p>
    <w:p w14:paraId="6ED15226" w14:textId="7A7B5CB1" w:rsidR="00BE4A5F" w:rsidRDefault="00BE4A5F" w:rsidP="00BE4A5F">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_Ref240995963 \h  \* MERGEFORMAT </w:instrText>
      </w:r>
      <w:r>
        <w:rPr>
          <w:rFonts w:ascii="Times New Roman" w:hAnsi="Times New Roman" w:cs="Times New Roman"/>
        </w:rPr>
      </w:r>
      <w:r>
        <w:rPr>
          <w:rFonts w:ascii="Times New Roman" w:hAnsi="Times New Roman" w:cs="Times New Roman"/>
        </w:rPr>
        <w:fldChar w:fldCharType="separate"/>
      </w:r>
      <w:r w:rsidRPr="00BE4A5F">
        <w:rPr>
          <w:rFonts w:ascii="Times New Roman" w:hAnsi="Times New Roman" w:cs="Times New Roman"/>
        </w:rPr>
        <w:t>Table IV</w:t>
      </w:r>
      <w:r>
        <w:rPr>
          <w:rFonts w:ascii="Times New Roman" w:hAnsi="Times New Roman" w:cs="Times New Roman"/>
        </w:rPr>
        <w:fldChar w:fldCharType="end"/>
      </w:r>
      <w:r>
        <w:rPr>
          <w:rFonts w:ascii="Times New Roman" w:hAnsi="Times New Roman" w:cs="Times New Roman"/>
        </w:rPr>
        <w:t xml:space="preserve"> </w:t>
      </w:r>
      <w:r w:rsidRPr="00EF41D9">
        <w:rPr>
          <w:rFonts w:ascii="Times New Roman" w:hAnsi="Times New Roman" w:cs="Times New Roman"/>
        </w:rPr>
        <w:t xml:space="preserve">depicts power quality requirements defined in </w:t>
      </w:r>
      <w:r>
        <w:rPr>
          <w:rFonts w:ascii="Times New Roman" w:hAnsi="Times New Roman" w:cs="Times New Roman"/>
        </w:rPr>
        <w:t>MIL-STD-1399-300-2</w:t>
      </w:r>
      <w:r w:rsidRPr="00EF41D9">
        <w:rPr>
          <w:rFonts w:ascii="Times New Roman" w:hAnsi="Times New Roman" w:cs="Times New Roman"/>
        </w:rPr>
        <w:t xml:space="preserve"> for </w:t>
      </w:r>
      <w:r>
        <w:rPr>
          <w:rFonts w:ascii="Times New Roman" w:hAnsi="Times New Roman" w:cs="Times New Roman"/>
        </w:rPr>
        <w:t xml:space="preserve">medium voltage </w:t>
      </w:r>
      <w:r w:rsidRPr="00EF41D9">
        <w:rPr>
          <w:rFonts w:ascii="Times New Roman" w:hAnsi="Times New Roman" w:cs="Times New Roman"/>
        </w:rPr>
        <w:t xml:space="preserve">ac power.  </w:t>
      </w:r>
      <w:r>
        <w:rPr>
          <w:rFonts w:ascii="Times New Roman" w:hAnsi="Times New Roman" w:cs="Times New Roman"/>
        </w:rPr>
        <w:t>Definitions are consistent with MIL-STD-1399-300-1.</w:t>
      </w:r>
    </w:p>
    <w:p w14:paraId="4D76A0F0" w14:textId="33EF4505" w:rsidR="00BE4A5F" w:rsidRPr="00EF41D9" w:rsidRDefault="00BE4A5F" w:rsidP="00BE4A5F">
      <w:pPr>
        <w:pStyle w:val="Caption"/>
        <w:keepNext/>
        <w:rPr>
          <w:rFonts w:ascii="Times New Roman" w:hAnsi="Times New Roman" w:cs="Times New Roman"/>
        </w:rPr>
      </w:pPr>
      <w:bookmarkStart w:id="4" w:name="_Ref240995963"/>
      <w:r>
        <w:t xml:space="preserve">Table </w:t>
      </w:r>
      <w:fldSimple w:instr=" SEQ Table \* ROMAN ">
        <w:r>
          <w:rPr>
            <w:noProof/>
          </w:rPr>
          <w:t>IV</w:t>
        </w:r>
      </w:fldSimple>
      <w:bookmarkEnd w:id="4"/>
      <w:r>
        <w:t>: MIL-STD-1399-300-2 Medium voltage ac power system characteristics</w:t>
      </w:r>
    </w:p>
    <w:p w14:paraId="01DBABF1" w14:textId="42828C51" w:rsidR="0091237C" w:rsidRDefault="00BE4A5F" w:rsidP="00BE4A5F">
      <w:pPr>
        <w:spacing w:before="240"/>
        <w:ind w:left="360"/>
        <w:jc w:val="center"/>
        <w:rPr>
          <w:rFonts w:ascii="Times New Roman" w:hAnsi="Times New Roman" w:cs="Times New Roman"/>
        </w:rPr>
      </w:pPr>
      <w:r w:rsidRPr="00BE4A5F">
        <w:rPr>
          <w:rFonts w:ascii="Times New Roman" w:hAnsi="Times New Roman" w:cs="Times New Roman"/>
          <w:noProof/>
        </w:rPr>
        <w:drawing>
          <wp:inline distT="0" distB="0" distL="0" distR="0" wp14:anchorId="254DCABB" wp14:editId="381BB5B4">
            <wp:extent cx="3657600" cy="4658733"/>
            <wp:effectExtent l="0" t="0" r="0" b="0"/>
            <wp:docPr id="92819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96150" name=""/>
                    <pic:cNvPicPr/>
                  </pic:nvPicPr>
                  <pic:blipFill rotWithShape="1">
                    <a:blip r:embed="rId12"/>
                    <a:srcRect t="860"/>
                    <a:stretch>
                      <a:fillRect/>
                    </a:stretch>
                  </pic:blipFill>
                  <pic:spPr bwMode="auto">
                    <a:xfrm>
                      <a:off x="0" y="0"/>
                      <a:ext cx="3657600" cy="4658733"/>
                    </a:xfrm>
                    <a:prstGeom prst="rect">
                      <a:avLst/>
                    </a:prstGeom>
                    <a:ln>
                      <a:noFill/>
                    </a:ln>
                    <a:extLst>
                      <a:ext uri="{53640926-AAD7-44D8-BBD7-CCE9431645EC}">
                        <a14:shadowObscured xmlns:a14="http://schemas.microsoft.com/office/drawing/2010/main"/>
                      </a:ext>
                    </a:extLst>
                  </pic:spPr>
                </pic:pic>
              </a:graphicData>
            </a:graphic>
          </wp:inline>
        </w:drawing>
      </w:r>
    </w:p>
    <w:p w14:paraId="7AD50A17" w14:textId="0FFF2BAA" w:rsidR="0091237C" w:rsidRDefault="0091237C" w:rsidP="0091237C">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MIL-STD-1399-300-3</w:t>
      </w:r>
    </w:p>
    <w:p w14:paraId="755A403B" w14:textId="2CEE887B" w:rsidR="00373E41" w:rsidRPr="00373E41" w:rsidRDefault="00373E41" w:rsidP="00373E41">
      <w:pPr>
        <w:spacing w:before="24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_Ref240996292 \h  \* MERGEFORMAT </w:instrText>
      </w:r>
      <w:r>
        <w:rPr>
          <w:rFonts w:ascii="Times New Roman" w:hAnsi="Times New Roman" w:cs="Times New Roman"/>
        </w:rPr>
      </w:r>
      <w:r>
        <w:rPr>
          <w:rFonts w:ascii="Times New Roman" w:hAnsi="Times New Roman" w:cs="Times New Roman"/>
        </w:rPr>
        <w:fldChar w:fldCharType="separate"/>
      </w:r>
      <w:r w:rsidRPr="00373E41">
        <w:rPr>
          <w:rFonts w:ascii="Times New Roman" w:hAnsi="Times New Roman" w:cs="Times New Roman"/>
        </w:rPr>
        <w:t>Table V</w:t>
      </w:r>
      <w:r>
        <w:rPr>
          <w:rFonts w:ascii="Times New Roman" w:hAnsi="Times New Roman" w:cs="Times New Roman"/>
        </w:rPr>
        <w:fldChar w:fldCharType="end"/>
      </w:r>
      <w:r w:rsidR="00CD34B1">
        <w:rPr>
          <w:rFonts w:ascii="Times New Roman" w:hAnsi="Times New Roman" w:cs="Times New Roman"/>
        </w:rPr>
        <w:t xml:space="preserve"> and </w:t>
      </w:r>
      <w:r w:rsidR="00CD34B1">
        <w:rPr>
          <w:rFonts w:ascii="Times New Roman" w:hAnsi="Times New Roman" w:cs="Times New Roman"/>
        </w:rPr>
        <w:fldChar w:fldCharType="begin"/>
      </w:r>
      <w:r w:rsidR="00CD34B1">
        <w:rPr>
          <w:rFonts w:ascii="Times New Roman" w:hAnsi="Times New Roman" w:cs="Times New Roman"/>
        </w:rPr>
        <w:instrText xml:space="preserve"> REF _Ref240996779 \h  \* MERGEFORMAT </w:instrText>
      </w:r>
      <w:r w:rsidR="00CD34B1">
        <w:rPr>
          <w:rFonts w:ascii="Times New Roman" w:hAnsi="Times New Roman" w:cs="Times New Roman"/>
        </w:rPr>
      </w:r>
      <w:r w:rsidR="00CD34B1">
        <w:rPr>
          <w:rFonts w:ascii="Times New Roman" w:hAnsi="Times New Roman" w:cs="Times New Roman"/>
        </w:rPr>
        <w:fldChar w:fldCharType="separate"/>
      </w:r>
      <w:r w:rsidR="00CD34B1" w:rsidRPr="00CD34B1">
        <w:rPr>
          <w:rFonts w:ascii="Times New Roman" w:hAnsi="Times New Roman" w:cs="Times New Roman"/>
        </w:rPr>
        <w:t>Table VI</w:t>
      </w:r>
      <w:r w:rsidR="00CD34B1">
        <w:rPr>
          <w:rFonts w:ascii="Times New Roman" w:hAnsi="Times New Roman" w:cs="Times New Roman"/>
        </w:rPr>
        <w:fldChar w:fldCharType="end"/>
      </w:r>
      <w:r w:rsidR="00CD34B1">
        <w:rPr>
          <w:rFonts w:ascii="Times New Roman" w:hAnsi="Times New Roman" w:cs="Times New Roman"/>
        </w:rPr>
        <w:t xml:space="preserve"> </w:t>
      </w:r>
      <w:r>
        <w:rPr>
          <w:rFonts w:ascii="Times New Roman" w:hAnsi="Times New Roman" w:cs="Times New Roman"/>
        </w:rPr>
        <w:t xml:space="preserve">depict </w:t>
      </w:r>
      <w:r w:rsidRPr="00373E41">
        <w:rPr>
          <w:rFonts w:ascii="Times New Roman" w:hAnsi="Times New Roman" w:cs="Times New Roman"/>
        </w:rPr>
        <w:t>power quality requirements defined in MIL-STD-1399-300-</w:t>
      </w:r>
      <w:r>
        <w:rPr>
          <w:rFonts w:ascii="Times New Roman" w:hAnsi="Times New Roman" w:cs="Times New Roman"/>
        </w:rPr>
        <w:t>3</w:t>
      </w:r>
      <w:r w:rsidRPr="00373E41">
        <w:rPr>
          <w:rFonts w:ascii="Times New Roman" w:hAnsi="Times New Roman" w:cs="Times New Roman"/>
        </w:rPr>
        <w:t xml:space="preserve"> for low voltage </w:t>
      </w:r>
      <w:r>
        <w:rPr>
          <w:rFonts w:ascii="Times New Roman" w:hAnsi="Times New Roman" w:cs="Times New Roman"/>
        </w:rPr>
        <w:t>d</w:t>
      </w:r>
      <w:r w:rsidRPr="00373E41">
        <w:rPr>
          <w:rFonts w:ascii="Times New Roman" w:hAnsi="Times New Roman" w:cs="Times New Roman"/>
        </w:rPr>
        <w:t>c power.  Definitions are generally consistent with MIL-STD-1399-300-1</w:t>
      </w:r>
      <w:r>
        <w:rPr>
          <w:rFonts w:ascii="Times New Roman" w:hAnsi="Times New Roman" w:cs="Times New Roman"/>
        </w:rPr>
        <w:t>; MIL-STD-1399-300-3</w:t>
      </w:r>
      <w:r w:rsidRPr="00373E41">
        <w:rPr>
          <w:rFonts w:ascii="Times New Roman" w:hAnsi="Times New Roman" w:cs="Times New Roman"/>
        </w:rPr>
        <w:t xml:space="preserve"> provides the following additional definitions:</w:t>
      </w:r>
    </w:p>
    <w:p w14:paraId="53CEE955" w14:textId="40A2BD50" w:rsidR="00373E41" w:rsidRDefault="00373E41" w:rsidP="00373E41">
      <w:pPr>
        <w:spacing w:before="240"/>
        <w:ind w:left="720" w:right="360"/>
        <w:jc w:val="both"/>
        <w:rPr>
          <w:rFonts w:ascii="Times New Roman" w:hAnsi="Times New Roman" w:cs="Times New Roman"/>
        </w:rPr>
      </w:pPr>
      <w:r>
        <w:rPr>
          <w:rFonts w:ascii="Times New Roman" w:hAnsi="Times New Roman" w:cs="Times New Roman"/>
        </w:rPr>
        <w:t>“</w:t>
      </w:r>
      <w:r w:rsidRPr="00373E41">
        <w:rPr>
          <w:rFonts w:ascii="Times New Roman" w:hAnsi="Times New Roman" w:cs="Times New Roman"/>
        </w:rPr>
        <w:t xml:space="preserve">3.31.2 </w:t>
      </w:r>
      <w:r w:rsidRPr="00373E41">
        <w:rPr>
          <w:rFonts w:ascii="Times New Roman" w:hAnsi="Times New Roman" w:cs="Times New Roman"/>
          <w:u w:val="single"/>
        </w:rPr>
        <w:t>User equipment normal service steady-state voltage range</w:t>
      </w:r>
      <w:r w:rsidRPr="00373E41">
        <w:rPr>
          <w:rFonts w:ascii="Times New Roman" w:hAnsi="Times New Roman" w:cs="Times New Roman"/>
        </w:rPr>
        <w:t xml:space="preserve">. The range of steady-state DC voltage that, when applied to user equipment (including voltage ripple), the user equipment is expected to function normally. This range accounts for possible voltage drop in the distribution system as well as the power source normal service voltage range. For type II power, this is characterized as user equipment </w:t>
      </w:r>
      <w:r w:rsidRPr="00373E41">
        <w:rPr>
          <w:rFonts w:ascii="Times New Roman" w:hAnsi="Times New Roman" w:cs="Times New Roman"/>
        </w:rPr>
        <w:lastRenderedPageBreak/>
        <w:t>normal service voltage range, overcharged to discharged. This is the degree to which voltage can vary solely due to varying states of charge of the energy storage system.</w:t>
      </w:r>
    </w:p>
    <w:p w14:paraId="0AFAF616" w14:textId="013B75C9" w:rsidR="00373E41" w:rsidRDefault="00373E41" w:rsidP="00373E41">
      <w:pPr>
        <w:spacing w:before="240"/>
        <w:ind w:left="720" w:right="360"/>
        <w:jc w:val="both"/>
        <w:rPr>
          <w:rFonts w:ascii="Times New Roman" w:hAnsi="Times New Roman" w:cs="Times New Roman"/>
        </w:rPr>
      </w:pPr>
      <w:r w:rsidRPr="00373E41">
        <w:rPr>
          <w:rFonts w:ascii="Times New Roman" w:hAnsi="Times New Roman" w:cs="Times New Roman"/>
        </w:rPr>
        <w:t xml:space="preserve">3.31.5 </w:t>
      </w:r>
      <w:r w:rsidRPr="00373E41">
        <w:rPr>
          <w:rFonts w:ascii="Times New Roman" w:hAnsi="Times New Roman" w:cs="Times New Roman"/>
          <w:u w:val="single"/>
        </w:rPr>
        <w:t>User equipment voltage transient tolerance</w:t>
      </w:r>
      <w:r w:rsidRPr="00373E41">
        <w:rPr>
          <w:rFonts w:ascii="Times New Roman" w:hAnsi="Times New Roman" w:cs="Times New Roman"/>
        </w:rPr>
        <w:t>. The allowed variation from nominal voltage expressed as a percent of the nominal voltage during transient conditions</w:t>
      </w:r>
      <w:r>
        <w:rPr>
          <w:rFonts w:ascii="Times New Roman" w:hAnsi="Times New Roman" w:cs="Times New Roman"/>
        </w:rPr>
        <w:t>.</w:t>
      </w:r>
    </w:p>
    <w:p w14:paraId="7E3771CE" w14:textId="7FF6F006" w:rsidR="00373E41" w:rsidRDefault="00373E41" w:rsidP="00373E41">
      <w:pPr>
        <w:spacing w:before="240"/>
        <w:ind w:left="720" w:right="360"/>
        <w:jc w:val="both"/>
        <w:rPr>
          <w:rFonts w:ascii="Times New Roman" w:hAnsi="Times New Roman" w:cs="Times New Roman"/>
        </w:rPr>
      </w:pPr>
      <w:r w:rsidRPr="00373E41">
        <w:rPr>
          <w:rFonts w:ascii="Times New Roman" w:hAnsi="Times New Roman" w:cs="Times New Roman"/>
        </w:rPr>
        <w:t xml:space="preserve">3.31.6 </w:t>
      </w:r>
      <w:r w:rsidRPr="00373E41">
        <w:rPr>
          <w:rFonts w:ascii="Times New Roman" w:hAnsi="Times New Roman" w:cs="Times New Roman"/>
          <w:u w:val="single"/>
        </w:rPr>
        <w:t>Voltage transients</w:t>
      </w:r>
      <w:r w:rsidRPr="00373E41">
        <w:rPr>
          <w:rFonts w:ascii="Times New Roman" w:hAnsi="Times New Roman" w:cs="Times New Roman"/>
        </w:rPr>
        <w:t>. A sudden change in voltage (longer than 1 millisecond) that exceeds the normal service steady-state voltage range, positively or negatively and returns to and remains within these limits within a specified recovery time</w:t>
      </w:r>
      <w:r>
        <w:rPr>
          <w:rFonts w:ascii="Times New Roman" w:hAnsi="Times New Roman" w:cs="Times New Roman"/>
        </w:rPr>
        <w:t>.</w:t>
      </w:r>
    </w:p>
    <w:p w14:paraId="367B749F" w14:textId="35B40F83" w:rsidR="00373E41" w:rsidRDefault="00373E41" w:rsidP="00373E41">
      <w:pPr>
        <w:spacing w:before="240"/>
        <w:ind w:left="720" w:right="360"/>
        <w:jc w:val="both"/>
        <w:rPr>
          <w:rFonts w:ascii="Times New Roman" w:hAnsi="Times New Roman" w:cs="Times New Roman"/>
        </w:rPr>
      </w:pPr>
      <w:r w:rsidRPr="00373E41">
        <w:rPr>
          <w:rFonts w:ascii="Times New Roman" w:hAnsi="Times New Roman" w:cs="Times New Roman"/>
        </w:rPr>
        <w:t xml:space="preserve">3.31.1 </w:t>
      </w:r>
      <w:r w:rsidRPr="00373E41">
        <w:rPr>
          <w:rFonts w:ascii="Times New Roman" w:hAnsi="Times New Roman" w:cs="Times New Roman"/>
          <w:u w:val="single"/>
        </w:rPr>
        <w:t>User equipment maximum steady-state voltage ripple</w:t>
      </w:r>
      <w:r w:rsidRPr="00373E41">
        <w:rPr>
          <w:rFonts w:ascii="Times New Roman" w:hAnsi="Times New Roman" w:cs="Times New Roman"/>
        </w:rPr>
        <w:t xml:space="preserve"> (peak-to-peak percent of nominal system voltage). The maximum peak-to-peak value of the non-DC component of the voltage measured at the input of a user equipment.</w:t>
      </w:r>
      <w:r w:rsidR="00CD34B1">
        <w:rPr>
          <w:rFonts w:ascii="Times New Roman" w:hAnsi="Times New Roman" w:cs="Times New Roman"/>
        </w:rPr>
        <w:t>”</w:t>
      </w:r>
    </w:p>
    <w:p w14:paraId="20298536" w14:textId="634C7AF5" w:rsidR="00373E41" w:rsidRDefault="00CD34B1" w:rsidP="00CD34B1">
      <w:pPr>
        <w:spacing w:before="240"/>
        <w:ind w:left="360" w:right="360"/>
        <w:jc w:val="both"/>
        <w:rPr>
          <w:rFonts w:ascii="Times New Roman" w:hAnsi="Times New Roman" w:cs="Times New Roman"/>
        </w:rPr>
      </w:pPr>
      <w:r w:rsidRPr="00CD34B1">
        <w:rPr>
          <w:rFonts w:ascii="Times New Roman" w:hAnsi="Times New Roman" w:cs="Times New Roman"/>
        </w:rPr>
        <w:t>Additional requirements are provided for ramp loads and pulsed loads.  The magnitude</w:t>
      </w:r>
      <w:r w:rsidR="009623D6">
        <w:rPr>
          <w:rFonts w:ascii="Times New Roman" w:hAnsi="Times New Roman" w:cs="Times New Roman"/>
        </w:rPr>
        <w:t>s</w:t>
      </w:r>
      <w:r w:rsidRPr="00CD34B1">
        <w:rPr>
          <w:rFonts w:ascii="Times New Roman" w:hAnsi="Times New Roman" w:cs="Times New Roman"/>
        </w:rPr>
        <w:t xml:space="preserve"> of </w:t>
      </w:r>
      <w:r>
        <w:rPr>
          <w:rFonts w:ascii="Times New Roman" w:hAnsi="Times New Roman" w:cs="Times New Roman"/>
        </w:rPr>
        <w:t>ripple</w:t>
      </w:r>
      <w:r w:rsidRPr="00CD34B1">
        <w:rPr>
          <w:rFonts w:ascii="Times New Roman" w:hAnsi="Times New Roman" w:cs="Times New Roman"/>
        </w:rPr>
        <w:t xml:space="preserve"> frequency components of the current waveform are also limited.</w:t>
      </w:r>
    </w:p>
    <w:p w14:paraId="5706A98F" w14:textId="7E84B21C" w:rsidR="00373E41" w:rsidRPr="00EF41D9" w:rsidRDefault="00373E41" w:rsidP="00373E41">
      <w:pPr>
        <w:pStyle w:val="Caption"/>
        <w:keepNext/>
        <w:rPr>
          <w:rFonts w:ascii="Times New Roman" w:hAnsi="Times New Roman" w:cs="Times New Roman"/>
        </w:rPr>
      </w:pPr>
      <w:bookmarkStart w:id="5" w:name="_Ref240996292"/>
      <w:r>
        <w:t xml:space="preserve">Table </w:t>
      </w:r>
      <w:fldSimple w:instr=" SEQ Table \* ROMAN ">
        <w:r>
          <w:rPr>
            <w:noProof/>
          </w:rPr>
          <w:t>V</w:t>
        </w:r>
      </w:fldSimple>
      <w:bookmarkEnd w:id="5"/>
      <w:r>
        <w:t>: MIL-STD-1399-300-3 Low voltage dc power system characteristics</w:t>
      </w:r>
      <w:r w:rsidR="00CD34B1">
        <w:t>: Type I and Type III power</w:t>
      </w:r>
    </w:p>
    <w:p w14:paraId="3AEFBBAE" w14:textId="428B59B0" w:rsidR="00373E41" w:rsidRDefault="00373E41" w:rsidP="00373E41">
      <w:pPr>
        <w:spacing w:before="240"/>
        <w:ind w:left="360"/>
        <w:jc w:val="center"/>
        <w:rPr>
          <w:rFonts w:ascii="Times New Roman" w:hAnsi="Times New Roman" w:cs="Times New Roman"/>
        </w:rPr>
      </w:pPr>
      <w:r w:rsidRPr="00373E41">
        <w:rPr>
          <w:rFonts w:ascii="Times New Roman" w:hAnsi="Times New Roman" w:cs="Times New Roman"/>
          <w:noProof/>
        </w:rPr>
        <w:drawing>
          <wp:inline distT="0" distB="0" distL="0" distR="0" wp14:anchorId="76FC7A65" wp14:editId="63A6E20E">
            <wp:extent cx="3657084" cy="4331202"/>
            <wp:effectExtent l="0" t="0" r="0" b="0"/>
            <wp:docPr id="61991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13287" name=""/>
                    <pic:cNvPicPr/>
                  </pic:nvPicPr>
                  <pic:blipFill rotWithShape="1">
                    <a:blip r:embed="rId13"/>
                    <a:srcRect t="1033"/>
                    <a:stretch>
                      <a:fillRect/>
                    </a:stretch>
                  </pic:blipFill>
                  <pic:spPr bwMode="auto">
                    <a:xfrm>
                      <a:off x="0" y="0"/>
                      <a:ext cx="3657600" cy="4331813"/>
                    </a:xfrm>
                    <a:prstGeom prst="rect">
                      <a:avLst/>
                    </a:prstGeom>
                    <a:ln>
                      <a:noFill/>
                    </a:ln>
                    <a:extLst>
                      <a:ext uri="{53640926-AAD7-44D8-BBD7-CCE9431645EC}">
                        <a14:shadowObscured xmlns:a14="http://schemas.microsoft.com/office/drawing/2010/main"/>
                      </a:ext>
                    </a:extLst>
                  </pic:spPr>
                </pic:pic>
              </a:graphicData>
            </a:graphic>
          </wp:inline>
        </w:drawing>
      </w:r>
    </w:p>
    <w:p w14:paraId="4B354F7D" w14:textId="6B37EEE1" w:rsidR="00CD34B1" w:rsidRPr="00EF41D9" w:rsidRDefault="00CD34B1" w:rsidP="00CD34B1">
      <w:pPr>
        <w:pStyle w:val="Caption"/>
        <w:keepNext/>
        <w:rPr>
          <w:rFonts w:ascii="Times New Roman" w:hAnsi="Times New Roman" w:cs="Times New Roman"/>
        </w:rPr>
      </w:pPr>
      <w:bookmarkStart w:id="6" w:name="_Ref240996779"/>
      <w:r>
        <w:lastRenderedPageBreak/>
        <w:t xml:space="preserve">Table </w:t>
      </w:r>
      <w:fldSimple w:instr=" SEQ Table \* ROMAN ">
        <w:r>
          <w:rPr>
            <w:noProof/>
          </w:rPr>
          <w:t>VI</w:t>
        </w:r>
      </w:fldSimple>
      <w:bookmarkEnd w:id="6"/>
      <w:r>
        <w:t>: MIL-STD-1399-300-3 Low voltage dc power system characteristics: Type II power</w:t>
      </w:r>
    </w:p>
    <w:p w14:paraId="3CD139FC" w14:textId="40A7B9BB" w:rsidR="00CD34B1" w:rsidRDefault="00CD34B1" w:rsidP="00373E41">
      <w:pPr>
        <w:spacing w:before="240"/>
        <w:ind w:left="360"/>
        <w:jc w:val="center"/>
        <w:rPr>
          <w:rFonts w:ascii="Times New Roman" w:hAnsi="Times New Roman" w:cs="Times New Roman"/>
        </w:rPr>
      </w:pPr>
      <w:r w:rsidRPr="00CD34B1">
        <w:rPr>
          <w:rFonts w:ascii="Times New Roman" w:hAnsi="Times New Roman" w:cs="Times New Roman"/>
          <w:noProof/>
        </w:rPr>
        <w:drawing>
          <wp:inline distT="0" distB="0" distL="0" distR="0" wp14:anchorId="7D8D11D9" wp14:editId="27F2B21C">
            <wp:extent cx="4267570" cy="5410669"/>
            <wp:effectExtent l="0" t="0" r="0" b="0"/>
            <wp:docPr id="191028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81096" name=""/>
                    <pic:cNvPicPr/>
                  </pic:nvPicPr>
                  <pic:blipFill>
                    <a:blip r:embed="rId14"/>
                    <a:stretch>
                      <a:fillRect/>
                    </a:stretch>
                  </pic:blipFill>
                  <pic:spPr>
                    <a:xfrm>
                      <a:off x="0" y="0"/>
                      <a:ext cx="4267570" cy="5410669"/>
                    </a:xfrm>
                    <a:prstGeom prst="rect">
                      <a:avLst/>
                    </a:prstGeom>
                  </pic:spPr>
                </pic:pic>
              </a:graphicData>
            </a:graphic>
          </wp:inline>
        </w:drawing>
      </w:r>
    </w:p>
    <w:p w14:paraId="12C18A3B" w14:textId="77777777"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ABS MVR</w:t>
      </w:r>
    </w:p>
    <w:p w14:paraId="25E0AEEF" w14:textId="7D06ACCA" w:rsidR="003521A2" w:rsidRDefault="006022A5">
      <w:pPr>
        <w:pStyle w:val="ListParagraph"/>
        <w:spacing w:before="240"/>
        <w:ind w:left="360"/>
        <w:contextualSpacing w:val="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_Ref241000228 \h  \* MERGEFORMAT </w:instrText>
      </w:r>
      <w:r>
        <w:rPr>
          <w:rFonts w:ascii="Times New Roman" w:hAnsi="Times New Roman" w:cs="Times New Roman"/>
        </w:rPr>
      </w:r>
      <w:r>
        <w:rPr>
          <w:rFonts w:ascii="Times New Roman" w:hAnsi="Times New Roman" w:cs="Times New Roman"/>
        </w:rPr>
        <w:fldChar w:fldCharType="separate"/>
      </w:r>
      <w:r w:rsidRPr="006022A5">
        <w:rPr>
          <w:rFonts w:ascii="Times New Roman" w:hAnsi="Times New Roman" w:cs="Times New Roman"/>
        </w:rPr>
        <w:t>Table VII</w:t>
      </w:r>
      <w:r>
        <w:rPr>
          <w:rFonts w:ascii="Times New Roman" w:hAnsi="Times New Roman" w:cs="Times New Roman"/>
        </w:rPr>
        <w:fldChar w:fldCharType="end"/>
      </w:r>
      <w:r>
        <w:rPr>
          <w:rFonts w:ascii="Times New Roman" w:hAnsi="Times New Roman" w:cs="Times New Roman"/>
        </w:rPr>
        <w:t xml:space="preserve"> depicts </w:t>
      </w:r>
      <w:r w:rsidRPr="00373E41">
        <w:rPr>
          <w:rFonts w:ascii="Times New Roman" w:hAnsi="Times New Roman" w:cs="Times New Roman"/>
        </w:rPr>
        <w:t xml:space="preserve">power quality requirements </w:t>
      </w:r>
      <w:r>
        <w:rPr>
          <w:rFonts w:ascii="Times New Roman" w:hAnsi="Times New Roman" w:cs="Times New Roman"/>
        </w:rPr>
        <w:t>from the American Bureau of Shipping (ABS) Marine Vessel Rules (MVR).  The MVR does not provide definitions for the terms.</w:t>
      </w:r>
    </w:p>
    <w:p w14:paraId="03C81AEF" w14:textId="39148541" w:rsidR="005B4CD1" w:rsidRPr="00EF41D9" w:rsidRDefault="005B4CD1" w:rsidP="005B4CD1">
      <w:pPr>
        <w:pStyle w:val="Caption"/>
        <w:keepNext/>
        <w:rPr>
          <w:rFonts w:ascii="Times New Roman" w:hAnsi="Times New Roman" w:cs="Times New Roman"/>
        </w:rPr>
      </w:pPr>
      <w:bookmarkStart w:id="7" w:name="_Ref241000228"/>
      <w:r>
        <w:lastRenderedPageBreak/>
        <w:t xml:space="preserve">Table </w:t>
      </w:r>
      <w:fldSimple w:instr=" SEQ Table \* ROMAN ">
        <w:r>
          <w:rPr>
            <w:noProof/>
          </w:rPr>
          <w:t>VII</w:t>
        </w:r>
      </w:fldSimple>
      <w:bookmarkEnd w:id="7"/>
      <w:r>
        <w:t>: ABS MVR power system characteristics: Type II power</w:t>
      </w:r>
    </w:p>
    <w:p w14:paraId="37D5C77E" w14:textId="252EB9C2" w:rsidR="005B4CD1" w:rsidRDefault="005B4CD1" w:rsidP="006022A5">
      <w:pPr>
        <w:pStyle w:val="ListParagraph"/>
        <w:spacing w:before="240"/>
        <w:ind w:left="360"/>
        <w:contextualSpacing w:val="0"/>
        <w:jc w:val="center"/>
        <w:rPr>
          <w:rFonts w:ascii="Times New Roman" w:hAnsi="Times New Roman" w:cs="Times New Roman"/>
        </w:rPr>
      </w:pPr>
      <w:r w:rsidRPr="005B4CD1">
        <w:rPr>
          <w:rFonts w:ascii="Times New Roman" w:hAnsi="Times New Roman" w:cs="Times New Roman"/>
          <w:noProof/>
        </w:rPr>
        <w:drawing>
          <wp:inline distT="0" distB="0" distL="0" distR="0" wp14:anchorId="0C990BBD" wp14:editId="66A85E5F">
            <wp:extent cx="3657600" cy="2233246"/>
            <wp:effectExtent l="0" t="0" r="0" b="0"/>
            <wp:docPr id="140967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74125" name=""/>
                    <pic:cNvPicPr/>
                  </pic:nvPicPr>
                  <pic:blipFill>
                    <a:blip r:embed="rId15"/>
                    <a:stretch>
                      <a:fillRect/>
                    </a:stretch>
                  </pic:blipFill>
                  <pic:spPr>
                    <a:xfrm>
                      <a:off x="0" y="0"/>
                      <a:ext cx="3657600" cy="2233246"/>
                    </a:xfrm>
                    <a:prstGeom prst="rect">
                      <a:avLst/>
                    </a:prstGeom>
                  </pic:spPr>
                </pic:pic>
              </a:graphicData>
            </a:graphic>
          </wp:inline>
        </w:drawing>
      </w:r>
    </w:p>
    <w:p w14:paraId="63BE19A0" w14:textId="77777777" w:rsidR="003521A2" w:rsidRDefault="00601713">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Quality of Service</w:t>
      </w:r>
    </w:p>
    <w:p w14:paraId="0EE9EEE3" w14:textId="77777777"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Introduction</w:t>
      </w:r>
    </w:p>
    <w:p w14:paraId="3F7E3330"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 xml:space="preserve">Quality of Service (QOS) is a reliability metric for the shipboard electrical power system as experienced by individual loads. QOS is defined in IEEE Std 45.1 and IEEE Std 45.3. </w:t>
      </w:r>
    </w:p>
    <w:p w14:paraId="677E7F2B"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One key QOS metric is “Mean Time Between Service-Interruption” or MTBSI.  A service interruption is defined in terms of the length of time that power quality is outside of prescribed standards (or power is lost altogether) as compared to the amount of time a load can tolerate the power quality being outside of prescribed standards; a service interruption only occurs if the power quality is outside of prescribed standards for a longer period of time than the load can tolerate.</w:t>
      </w:r>
    </w:p>
    <w:p w14:paraId="7AE18071"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The customer establishes the requirement for MTBSI for each load. A customer may elect to not apply QOS to non-critical (non-vital) loads; essentially treating all non-critical loads as exempt loads. For other loads, a MTBSI requirement of 30,000 hours is not unreasonable.</w:t>
      </w:r>
    </w:p>
    <w:p w14:paraId="38095780" w14:textId="77777777" w:rsidR="003521A2" w:rsidRDefault="00601713">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QOS terms</w:t>
      </w:r>
    </w:p>
    <w:p w14:paraId="596EAB6E"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To prevent service interruptions, categorizing loads with respect to two system metrics, t1 and t2 is useful. As defined in IEEE Std 45.1:</w:t>
      </w:r>
    </w:p>
    <w:p w14:paraId="05B38450" w14:textId="77777777" w:rsidR="003521A2" w:rsidRDefault="00601713">
      <w:pPr>
        <w:spacing w:before="240"/>
        <w:ind w:left="720" w:right="360"/>
        <w:jc w:val="both"/>
        <w:rPr>
          <w:rFonts w:ascii="Times New Roman" w:hAnsi="Times New Roman" w:cs="Times New Roman"/>
        </w:rPr>
      </w:pPr>
      <w:r>
        <w:rPr>
          <w:rFonts w:ascii="Times New Roman" w:hAnsi="Times New Roman" w:cs="Times New Roman"/>
        </w:rPr>
        <w:t>“Reconfiguration time (t1) is defined as the maximum time to reconfigure the distribution system without bringing on additional generation capacity.”</w:t>
      </w:r>
    </w:p>
    <w:p w14:paraId="52E7B360" w14:textId="77777777" w:rsidR="003521A2" w:rsidRDefault="00601713">
      <w:pPr>
        <w:spacing w:before="240"/>
        <w:ind w:left="720" w:right="360"/>
        <w:jc w:val="both"/>
        <w:rPr>
          <w:rFonts w:ascii="Times New Roman" w:hAnsi="Times New Roman" w:cs="Times New Roman"/>
        </w:rPr>
      </w:pPr>
      <w:r>
        <w:rPr>
          <w:rFonts w:ascii="Times New Roman" w:hAnsi="Times New Roman" w:cs="Times New Roman"/>
        </w:rPr>
        <w:t>“Generator start time (t2) is defined as the maximum time to bring the slowest power generation module online.”</w:t>
      </w:r>
    </w:p>
    <w:p w14:paraId="1DD93A33" w14:textId="77777777" w:rsidR="003521A2" w:rsidRDefault="00601713">
      <w:pPr>
        <w:spacing w:before="240"/>
        <w:ind w:left="360"/>
        <w:jc w:val="both"/>
        <w:rPr>
          <w:rFonts w:ascii="Times New Roman" w:hAnsi="Times New Roman" w:cs="Times New Roman"/>
        </w:rPr>
      </w:pPr>
      <w:r>
        <w:rPr>
          <w:rFonts w:ascii="Times New Roman" w:hAnsi="Times New Roman" w:cs="Times New Roman"/>
        </w:rPr>
        <w:lastRenderedPageBreak/>
        <w:t>If a load would experience a service interruption with power outside of power quality requirements of duration t1, it is classified as an uninterruptible load.</w:t>
      </w:r>
    </w:p>
    <w:p w14:paraId="319A8594"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If a load would not experience a service interruption with power outside of power quality requirements of duration t1, but would with duration t2, it is classified as a short-term interrupt load.</w:t>
      </w:r>
    </w:p>
    <w:p w14:paraId="10034A72"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If a load would not experience a service interruption with power outside of power quality requirements of duration t2, it is classified as a long-term interrupt load.  A subset of long-term interrupt load is classified as “Exempt Load” if restoring power to these loads is not required upon loss of a generator set.</w:t>
      </w:r>
    </w:p>
    <w:p w14:paraId="694BBC6C" w14:textId="77777777" w:rsidR="003521A2" w:rsidRDefault="00601713">
      <w:pPr>
        <w:spacing w:before="240"/>
        <w:ind w:left="360"/>
        <w:jc w:val="both"/>
        <w:rPr>
          <w:rFonts w:ascii="Times New Roman" w:hAnsi="Times New Roman" w:cs="Times New Roman"/>
        </w:rPr>
      </w:pPr>
      <w:r>
        <w:rPr>
          <w:rFonts w:ascii="Times New Roman" w:hAnsi="Times New Roman" w:cs="Times New Roman"/>
        </w:rPr>
        <w:t>Technology choices in the design of the power system impact the values of t1 and t2. The values of t1 and t2 in turn impact how loads are categorized and how the power system should be designed to minimize service interruptions.</w:t>
      </w:r>
    </w:p>
    <w:p w14:paraId="1988603E" w14:textId="0A132548" w:rsidR="003521A2" w:rsidRDefault="00601713">
      <w:pPr>
        <w:spacing w:before="240"/>
        <w:ind w:left="360"/>
        <w:jc w:val="both"/>
        <w:rPr>
          <w:rFonts w:ascii="Times New Roman" w:hAnsi="Times New Roman" w:cs="Times New Roman"/>
        </w:rPr>
      </w:pPr>
      <w:r>
        <w:rPr>
          <w:rFonts w:ascii="Times New Roman" w:hAnsi="Times New Roman" w:cs="Times New Roman"/>
        </w:rPr>
        <w:t xml:space="preserve">For example, if conventional electro-mechanical circuit breakers are used in a system, then t1 can be on the order of seconds. If solid state circuit breakers are used, then t1 can be on the order of milliseconds. Many loads that would be classified as uninterruptible loads with electro-mechanical circuit breakers would be classified as short term interrupt loads with the </w:t>
      </w:r>
      <w:r w:rsidR="00927686">
        <w:rPr>
          <w:rFonts w:ascii="Times New Roman" w:hAnsi="Times New Roman" w:cs="Times New Roman"/>
        </w:rPr>
        <w:t>solid-state</w:t>
      </w:r>
      <w:r>
        <w:rPr>
          <w:rFonts w:ascii="Times New Roman" w:hAnsi="Times New Roman" w:cs="Times New Roman"/>
        </w:rPr>
        <w:t xml:space="preserve"> circuit breakers. Uninterruptible loads typically require distributed uninterruptible power supplies (UPS) to avoid service interruptions. With the use of </w:t>
      </w:r>
      <w:r w:rsidR="007A1989">
        <w:rPr>
          <w:rFonts w:ascii="Times New Roman" w:hAnsi="Times New Roman" w:cs="Times New Roman"/>
        </w:rPr>
        <w:t>solid-state</w:t>
      </w:r>
      <w:r>
        <w:rPr>
          <w:rFonts w:ascii="Times New Roman" w:hAnsi="Times New Roman" w:cs="Times New Roman"/>
        </w:rPr>
        <w:t xml:space="preserve"> circuit breakers, these distributed UPSs may not be required at all, or replaced with more economical centralized UPSs.</w:t>
      </w:r>
    </w:p>
    <w:p w14:paraId="1FE0D84F" w14:textId="77777777" w:rsidR="003521A2" w:rsidRDefault="00601713">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References</w:t>
      </w:r>
    </w:p>
    <w:p w14:paraId="0FD70181" w14:textId="77777777" w:rsidR="003521A2" w:rsidRDefault="00601713">
      <w:pPr>
        <w:pStyle w:val="NormalWeb"/>
        <w:spacing w:before="280" w:after="280"/>
        <w:ind w:left="720" w:hanging="720"/>
      </w:pPr>
      <w:r>
        <w:t>ABS Marine Vessel Rules</w:t>
      </w:r>
    </w:p>
    <w:p w14:paraId="46616B2F" w14:textId="77777777" w:rsidR="003521A2" w:rsidRDefault="00601713">
      <w:pPr>
        <w:pStyle w:val="NormalWeb"/>
        <w:spacing w:before="280" w:after="280"/>
        <w:ind w:left="720" w:hanging="720"/>
      </w:pPr>
      <w:r>
        <w:t>MIL-STD-1399-300-1 Low Voltage Electric Power, Alternating Current</w:t>
      </w:r>
    </w:p>
    <w:p w14:paraId="2259C231" w14:textId="77777777" w:rsidR="003521A2" w:rsidRDefault="00601713">
      <w:pPr>
        <w:pStyle w:val="NormalWeb"/>
        <w:spacing w:before="280" w:after="280"/>
        <w:ind w:left="720" w:hanging="720"/>
      </w:pPr>
      <w:r>
        <w:t>MIL-STD-1399-300-2 Medium Voltage Electric Power, Alternating Current</w:t>
      </w:r>
    </w:p>
    <w:p w14:paraId="687B9CA7" w14:textId="77777777" w:rsidR="003521A2" w:rsidRDefault="00601713">
      <w:pPr>
        <w:pStyle w:val="NormalWeb"/>
        <w:spacing w:before="280" w:after="280"/>
        <w:ind w:left="720" w:hanging="720"/>
      </w:pPr>
      <w:r>
        <w:t>MIL-STD-1399-300-3 Low Voltage Electric Power, Direct Current</w:t>
      </w:r>
    </w:p>
    <w:p w14:paraId="69359E1D" w14:textId="5BE8AA19" w:rsidR="003521A2" w:rsidRDefault="00601713">
      <w:pPr>
        <w:pStyle w:val="NormalWeb"/>
        <w:spacing w:before="280" w:after="280"/>
        <w:ind w:left="720" w:hanging="720"/>
      </w:pPr>
      <w:r>
        <w:t>IEEE Std</w:t>
      </w:r>
      <w:r w:rsidR="0060216D">
        <w:t>.</w:t>
      </w:r>
      <w:r>
        <w:t xml:space="preserve"> 45.1 IEEE Recommended Practice for Electrical Installations on Shipboard—Design</w:t>
      </w:r>
    </w:p>
    <w:p w14:paraId="16A5803B" w14:textId="40E8628C" w:rsidR="0060216D" w:rsidRPr="0060216D" w:rsidRDefault="0060216D" w:rsidP="0060216D">
      <w:pPr>
        <w:pStyle w:val="NormalWeb"/>
        <w:spacing w:before="280" w:after="280"/>
        <w:ind w:left="720" w:hanging="720"/>
      </w:pPr>
      <w:r>
        <w:t xml:space="preserve">IEEE Std. </w:t>
      </w:r>
      <w:r w:rsidRPr="0060216D">
        <w:t>519 IEEE Standard for Harmonic Control in Electric Power Systems</w:t>
      </w:r>
    </w:p>
    <w:p w14:paraId="48FFAA82" w14:textId="07D25B73" w:rsidR="003521A2" w:rsidRDefault="00601713">
      <w:pPr>
        <w:pStyle w:val="NormalWeb"/>
        <w:spacing w:before="280" w:after="280"/>
        <w:ind w:left="720" w:hanging="720"/>
        <w:rPr>
          <w:b/>
          <w:bCs/>
        </w:rPr>
      </w:pPr>
      <w:r>
        <w:t>IEEE Std</w:t>
      </w:r>
      <w:r w:rsidR="0060216D">
        <w:t>.</w:t>
      </w:r>
      <w:r>
        <w:t xml:space="preserve"> 1709 IEEE Recommended Practice for 1 kV to 35 kV Medium-Voltage DC Power Systems on Ships</w:t>
      </w:r>
    </w:p>
    <w:p w14:paraId="133D0D41" w14:textId="4261D780" w:rsidR="003521A2" w:rsidRDefault="00FF1F05">
      <w:pPr>
        <w:pStyle w:val="NormalWeb"/>
        <w:spacing w:before="280" w:after="280"/>
        <w:ind w:left="720" w:hanging="720"/>
      </w:pPr>
      <w:r w:rsidRPr="00FF1F05">
        <w:t>Doerry, Norbert, "Naval Power Systems," IEEE Electrification, Volume 3 Number 2, June 2015, pp. 12-21.</w:t>
      </w:r>
    </w:p>
    <w:sectPr w:rsidR="003521A2">
      <w:footerReference w:type="default" r:id="rId16"/>
      <w:footerReference w:type="first" r:id="rId17"/>
      <w:pgSz w:w="12240" w:h="15840"/>
      <w:pgMar w:top="1440" w:right="1440" w:bottom="1440"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F874" w14:textId="77777777" w:rsidR="003F2ACA" w:rsidRDefault="003F2ACA">
      <w:pPr>
        <w:spacing w:after="0" w:line="240" w:lineRule="auto"/>
      </w:pPr>
      <w:r>
        <w:separator/>
      </w:r>
    </w:p>
  </w:endnote>
  <w:endnote w:type="continuationSeparator" w:id="0">
    <w:p w14:paraId="48958453" w14:textId="77777777" w:rsidR="003F2ACA" w:rsidRDefault="003F2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E37" w14:textId="77777777" w:rsidR="003521A2" w:rsidRDefault="00601713">
    <w:pPr>
      <w:pStyle w:val="Footer"/>
    </w:pPr>
    <w:r>
      <w:rPr>
        <w:noProof/>
      </w:rPr>
      <w:drawing>
        <wp:anchor distT="0" distB="0" distL="114300" distR="114300" simplePos="0" relativeHeight="251659264" behindDoc="0" locked="0" layoutInCell="0" allowOverlap="1" wp14:anchorId="263A3A64" wp14:editId="49928669">
          <wp:simplePos x="0" y="0"/>
          <wp:positionH relativeFrom="column">
            <wp:posOffset>229870</wp:posOffset>
          </wp:positionH>
          <wp:positionV relativeFrom="paragraph">
            <wp:posOffset>109855</wp:posOffset>
          </wp:positionV>
          <wp:extent cx="210185" cy="210185"/>
          <wp:effectExtent l="0" t="0" r="0" b="0"/>
          <wp:wrapThrough wrapText="bothSides">
            <wp:wrapPolygon edited="0">
              <wp:start x="1958" y="0"/>
              <wp:lineTo x="0" y="3915"/>
              <wp:lineTo x="0" y="17619"/>
              <wp:lineTo x="1958" y="19577"/>
              <wp:lineTo x="19577" y="19577"/>
              <wp:lineTo x="19577" y="0"/>
              <wp:lineTo x="1958" y="0"/>
            </wp:wrapPolygon>
          </wp:wrapThrough>
          <wp:docPr id="1" name="Picture 6" descr="A black and white circle with a person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A black and white circle with a person in it&#10;&#10;Description automatically generated"/>
                  <pic:cNvPicPr>
                    <a:picLocks noChangeAspect="1" noChangeArrowheads="1"/>
                  </pic:cNvPicPr>
                </pic:nvPicPr>
                <pic:blipFill>
                  <a:blip r:embed="rId1"/>
                  <a:stretch>
                    <a:fillRect/>
                  </a:stretch>
                </pic:blipFill>
                <pic:spPr bwMode="auto">
                  <a:xfrm flipH="1">
                    <a:off x="0" y="0"/>
                    <a:ext cx="210185" cy="210185"/>
                  </a:xfrm>
                  <a:prstGeom prst="rect">
                    <a:avLst/>
                  </a:prstGeom>
                </pic:spPr>
              </pic:pic>
            </a:graphicData>
          </a:graphic>
          <wp14:sizeRelV relativeFrom="margin">
            <wp14:pctHeight>0</wp14:pctHeight>
          </wp14:sizeRelV>
        </wp:anchor>
      </w:drawing>
    </w:r>
    <w:r>
      <w:tab/>
      <w:t>© 2026 by Norbert Doerry</w:t>
    </w:r>
  </w:p>
  <w:sdt>
    <w:sdtPr>
      <w:id w:val="-751422076"/>
      <w:docPartObj>
        <w:docPartGallery w:val="Page Numbers (Bottom of Page)"/>
        <w:docPartUnique/>
      </w:docPartObj>
    </w:sdtPr>
    <w:sdtEndPr/>
    <w:sdtContent>
      <w:p w14:paraId="7CCA33BB" w14:textId="592B1828" w:rsidR="003521A2" w:rsidRDefault="00601713">
        <w:pPr>
          <w:pStyle w:val="Footer"/>
        </w:pPr>
        <w:r>
          <w:rPr>
            <w:noProof/>
          </w:rPr>
          <w:drawing>
            <wp:anchor distT="0" distB="0" distL="0" distR="0" simplePos="0" relativeHeight="251656192" behindDoc="1" locked="0" layoutInCell="1" allowOverlap="1" wp14:anchorId="56F18B2E" wp14:editId="48774100">
              <wp:simplePos x="0" y="0"/>
              <wp:positionH relativeFrom="column">
                <wp:posOffset>0</wp:posOffset>
              </wp:positionH>
              <wp:positionV relativeFrom="paragraph">
                <wp:posOffset>-78105</wp:posOffset>
              </wp:positionV>
              <wp:extent cx="207645" cy="209550"/>
              <wp:effectExtent l="0" t="0" r="0" b="0"/>
              <wp:wrapNone/>
              <wp:docPr id="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a black square&#10;&#10;Description automatically generated with medium confidence"/>
                      <pic:cNvPicPr>
                        <a:picLocks noChangeAspect="1" noChangeArrowheads="1"/>
                      </pic:cNvPicPr>
                    </pic:nvPicPr>
                    <pic:blipFill>
                      <a:blip r:embed="rId2"/>
                      <a:stretch>
                        <a:fillRect/>
                      </a:stretch>
                    </pic:blipFill>
                    <pic:spPr bwMode="auto">
                      <a:xfrm>
                        <a:off x="0" y="0"/>
                        <a:ext cx="207645" cy="209550"/>
                      </a:xfrm>
                      <a:prstGeom prst="rect">
                        <a:avLst/>
                      </a:prstGeom>
                    </pic:spPr>
                  </pic:pic>
                </a:graphicData>
              </a:graphic>
            </wp:anchor>
          </w:drawing>
        </w:r>
        <w:r>
          <w:tab/>
          <w:t>This work is licensed via: CC BY 4.0</w:t>
        </w:r>
        <w:proofErr w:type="gramStart"/>
        <w:r>
          <w:t xml:space="preserve">   (</w:t>
        </w:r>
        <w:proofErr w:type="gramEnd"/>
        <w:r>
          <w:t>https://creativecommons.org/)</w:t>
        </w:r>
        <w:r>
          <w:tab/>
        </w:r>
        <w:r>
          <w:fldChar w:fldCharType="begin"/>
        </w:r>
        <w:r>
          <w:instrText xml:space="preserve"> PAGE </w:instrText>
        </w:r>
        <w:r>
          <w:fldChar w:fldCharType="separate"/>
        </w:r>
        <w: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9D60" w14:textId="77777777" w:rsidR="003521A2" w:rsidRDefault="00601713">
    <w:pPr>
      <w:pStyle w:val="Footer"/>
    </w:pPr>
    <w:r>
      <w:rPr>
        <w:noProof/>
      </w:rPr>
      <w:drawing>
        <wp:anchor distT="0" distB="0" distL="114300" distR="114300" simplePos="0" relativeHeight="251658240" behindDoc="0" locked="0" layoutInCell="0" allowOverlap="1" wp14:anchorId="2C179846" wp14:editId="22058A2C">
          <wp:simplePos x="0" y="0"/>
          <wp:positionH relativeFrom="column">
            <wp:posOffset>227965</wp:posOffset>
          </wp:positionH>
          <wp:positionV relativeFrom="paragraph">
            <wp:posOffset>127635</wp:posOffset>
          </wp:positionV>
          <wp:extent cx="210185" cy="210185"/>
          <wp:effectExtent l="0" t="0" r="0" b="0"/>
          <wp:wrapThrough wrapText="bothSides">
            <wp:wrapPolygon edited="0">
              <wp:start x="1878" y="0"/>
              <wp:lineTo x="-21" y="3856"/>
              <wp:lineTo x="-21" y="17553"/>
              <wp:lineTo x="1878" y="19513"/>
              <wp:lineTo x="19529" y="19513"/>
              <wp:lineTo x="19529" y="0"/>
              <wp:lineTo x="1878" y="0"/>
            </wp:wrapPolygon>
          </wp:wrapThrough>
          <wp:docPr id="3" name="Picture 6" descr="A black and white circle with a person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A black and white circle with a person in it&#10;&#10;Description automatically generated"/>
                  <pic:cNvPicPr>
                    <a:picLocks noChangeAspect="1" noChangeArrowheads="1"/>
                  </pic:cNvPicPr>
                </pic:nvPicPr>
                <pic:blipFill>
                  <a:blip r:embed="rId1"/>
                  <a:stretch>
                    <a:fillRect/>
                  </a:stretch>
                </pic:blipFill>
                <pic:spPr bwMode="auto">
                  <a:xfrm flipH="1">
                    <a:off x="0" y="0"/>
                    <a:ext cx="210185" cy="210185"/>
                  </a:xfrm>
                  <a:prstGeom prst="rect">
                    <a:avLst/>
                  </a:prstGeom>
                </pic:spPr>
              </pic:pic>
            </a:graphicData>
          </a:graphic>
        </wp:anchor>
      </w:drawing>
    </w:r>
    <w:r>
      <w:tab/>
      <w:t>© 2026 by Norbert Doerry</w:t>
    </w:r>
  </w:p>
  <w:sdt>
    <w:sdtPr>
      <w:id w:val="1259180800"/>
      <w:docPartObj>
        <w:docPartGallery w:val="Page Numbers (Bottom of Page)"/>
        <w:docPartUnique/>
      </w:docPartObj>
    </w:sdtPr>
    <w:sdtEndPr/>
    <w:sdtContent>
      <w:p w14:paraId="50216123" w14:textId="77777777" w:rsidR="003521A2" w:rsidRDefault="00601713">
        <w:pPr>
          <w:pStyle w:val="Footer"/>
        </w:pPr>
        <w:r>
          <w:rPr>
            <w:noProof/>
          </w:rPr>
          <w:drawing>
            <wp:anchor distT="0" distB="0" distL="0" distR="0" simplePos="0" relativeHeight="251657216" behindDoc="1" locked="0" layoutInCell="1" allowOverlap="1" wp14:anchorId="5B1D5D08" wp14:editId="1086D825">
              <wp:simplePos x="0" y="0"/>
              <wp:positionH relativeFrom="column">
                <wp:posOffset>0</wp:posOffset>
              </wp:positionH>
              <wp:positionV relativeFrom="paragraph">
                <wp:posOffset>-78105</wp:posOffset>
              </wp:positionV>
              <wp:extent cx="207645" cy="209550"/>
              <wp:effectExtent l="0" t="0" r="0" b="0"/>
              <wp:wrapNone/>
              <wp:docPr id="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black background with a black square&#10;&#10;Description automatically generated with medium confidence"/>
                      <pic:cNvPicPr>
                        <a:picLocks noChangeAspect="1" noChangeArrowheads="1"/>
                      </pic:cNvPicPr>
                    </pic:nvPicPr>
                    <pic:blipFill>
                      <a:blip r:embed="rId2"/>
                      <a:stretch>
                        <a:fillRect/>
                      </a:stretch>
                    </pic:blipFill>
                    <pic:spPr bwMode="auto">
                      <a:xfrm>
                        <a:off x="0" y="0"/>
                        <a:ext cx="207645" cy="209550"/>
                      </a:xfrm>
                      <a:prstGeom prst="rect">
                        <a:avLst/>
                      </a:prstGeom>
                    </pic:spPr>
                  </pic:pic>
                </a:graphicData>
              </a:graphic>
            </wp:anchor>
          </w:drawing>
        </w:r>
        <w:r>
          <w:tab/>
          <w:t>This work is licensed via: CC BY 4.0</w:t>
        </w:r>
        <w:proofErr w:type="gramStart"/>
        <w:r>
          <w:t xml:space="preserve">   (</w:t>
        </w:r>
        <w:proofErr w:type="gramEnd"/>
        <w:r>
          <w:t>https://creativecommons.org/)</w:t>
        </w:r>
        <w:r>
          <w:tab/>
        </w:r>
        <w:r>
          <w:fldChar w:fldCharType="begin"/>
        </w:r>
        <w:r>
          <w:instrText xml:space="preserve"> PAGE </w:instrText>
        </w:r>
        <w:r>
          <w:fldChar w:fldCharType="separate"/>
        </w:r>
        <w: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3D03" w14:textId="77777777" w:rsidR="003F2ACA" w:rsidRDefault="003F2ACA">
      <w:pPr>
        <w:spacing w:after="0" w:line="240" w:lineRule="auto"/>
      </w:pPr>
      <w:r>
        <w:separator/>
      </w:r>
    </w:p>
  </w:footnote>
  <w:footnote w:type="continuationSeparator" w:id="0">
    <w:p w14:paraId="04889370" w14:textId="77777777" w:rsidR="003F2ACA" w:rsidRDefault="003F2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186F"/>
    <w:multiLevelType w:val="multilevel"/>
    <w:tmpl w:val="01FA43A6"/>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1" w15:restartNumberingAfterBreak="0">
    <w:nsid w:val="50D40CDD"/>
    <w:multiLevelType w:val="multilevel"/>
    <w:tmpl w:val="04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548837BE"/>
    <w:multiLevelType w:val="multilevel"/>
    <w:tmpl w:val="7E4CCE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E3B47A3"/>
    <w:multiLevelType w:val="multilevel"/>
    <w:tmpl w:val="E23C9358"/>
    <w:lvl w:ilvl="0">
      <w:start w:val="1"/>
      <w:numFmt w:val="decimal"/>
      <w:pStyle w:val="tablecaption"/>
      <w:suff w:val="space"/>
      <w:lvlText w:val="Table %1."/>
      <w:lvlJc w:val="left"/>
      <w:pPr>
        <w:tabs>
          <w:tab w:val="num" w:pos="0"/>
        </w:tabs>
        <w:ind w:left="1980" w:firstLine="0"/>
      </w:pPr>
      <w:rPr>
        <w:rFonts w:ascii="Times New Roman" w:hAnsi="Times New Roman"/>
        <w:b/>
        <w:i w:val="0"/>
        <w:sz w:val="18"/>
        <w:szCs w:val="18"/>
      </w:rPr>
    </w:lvl>
    <w:lvl w:ilvl="1">
      <w:start w:val="1"/>
      <w:numFmt w:val="decimal"/>
      <w:lvlText w:val="%1.%2."/>
      <w:lvlJc w:val="left"/>
      <w:pPr>
        <w:tabs>
          <w:tab w:val="num" w:pos="900"/>
        </w:tabs>
        <w:ind w:left="-108" w:hanging="432"/>
      </w:pPr>
    </w:lvl>
    <w:lvl w:ilvl="2">
      <w:start w:val="1"/>
      <w:numFmt w:val="decimal"/>
      <w:lvlText w:val="%1.%2.%3."/>
      <w:lvlJc w:val="left"/>
      <w:pPr>
        <w:tabs>
          <w:tab w:val="num" w:pos="1620"/>
        </w:tabs>
        <w:ind w:left="324" w:hanging="504"/>
      </w:pPr>
    </w:lvl>
    <w:lvl w:ilvl="3">
      <w:start w:val="1"/>
      <w:numFmt w:val="decimal"/>
      <w:lvlText w:val="%1.%2.%3.%4."/>
      <w:lvlJc w:val="left"/>
      <w:pPr>
        <w:tabs>
          <w:tab w:val="num" w:pos="2700"/>
        </w:tabs>
        <w:ind w:left="828" w:hanging="648"/>
      </w:pPr>
    </w:lvl>
    <w:lvl w:ilvl="4">
      <w:start w:val="1"/>
      <w:numFmt w:val="decimal"/>
      <w:lvlText w:val="%1.%2.%3.%4.%5."/>
      <w:lvlJc w:val="left"/>
      <w:pPr>
        <w:tabs>
          <w:tab w:val="num" w:pos="3420"/>
        </w:tabs>
        <w:ind w:left="1332" w:hanging="792"/>
      </w:pPr>
    </w:lvl>
    <w:lvl w:ilvl="5">
      <w:start w:val="1"/>
      <w:numFmt w:val="decimal"/>
      <w:lvlText w:val="%1.%2.%3.%4.%5.%6."/>
      <w:lvlJc w:val="left"/>
      <w:pPr>
        <w:tabs>
          <w:tab w:val="num" w:pos="4500"/>
        </w:tabs>
        <w:ind w:left="1836" w:hanging="936"/>
      </w:pPr>
    </w:lvl>
    <w:lvl w:ilvl="6">
      <w:start w:val="1"/>
      <w:numFmt w:val="decimal"/>
      <w:lvlText w:val="%1.%2.%3.%4.%5.%6.%7."/>
      <w:lvlJc w:val="left"/>
      <w:pPr>
        <w:tabs>
          <w:tab w:val="num" w:pos="5220"/>
        </w:tabs>
        <w:ind w:left="2340" w:hanging="1080"/>
      </w:pPr>
    </w:lvl>
    <w:lvl w:ilvl="7">
      <w:start w:val="1"/>
      <w:numFmt w:val="decimal"/>
      <w:lvlText w:val="%1.%2.%3.%4.%5.%6.%7.%8."/>
      <w:lvlJc w:val="left"/>
      <w:pPr>
        <w:tabs>
          <w:tab w:val="num" w:pos="6300"/>
        </w:tabs>
        <w:ind w:left="2844" w:hanging="1224"/>
      </w:pPr>
    </w:lvl>
    <w:lvl w:ilvl="8">
      <w:start w:val="1"/>
      <w:numFmt w:val="decimal"/>
      <w:lvlText w:val="%1.%2.%3.%4.%5.%6.%7.%8.%9."/>
      <w:lvlJc w:val="left"/>
      <w:pPr>
        <w:tabs>
          <w:tab w:val="num" w:pos="7020"/>
        </w:tabs>
        <w:ind w:left="3420" w:hanging="1440"/>
      </w:pPr>
    </w:lvl>
  </w:abstractNum>
  <w:num w:numId="1" w16cid:durableId="1473794663">
    <w:abstractNumId w:val="1"/>
  </w:num>
  <w:num w:numId="2" w16cid:durableId="2017996004">
    <w:abstractNumId w:val="3"/>
  </w:num>
  <w:num w:numId="3" w16cid:durableId="1820611503">
    <w:abstractNumId w:val="0"/>
  </w:num>
  <w:num w:numId="4" w16cid:durableId="280573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A2"/>
    <w:rsid w:val="00136A1D"/>
    <w:rsid w:val="0023093C"/>
    <w:rsid w:val="00262AED"/>
    <w:rsid w:val="002B7C8F"/>
    <w:rsid w:val="003521A2"/>
    <w:rsid w:val="00373E41"/>
    <w:rsid w:val="003F2ACA"/>
    <w:rsid w:val="00412C71"/>
    <w:rsid w:val="00475422"/>
    <w:rsid w:val="005B4CD1"/>
    <w:rsid w:val="006010DA"/>
    <w:rsid w:val="00601713"/>
    <w:rsid w:val="0060216D"/>
    <w:rsid w:val="006022A5"/>
    <w:rsid w:val="00743130"/>
    <w:rsid w:val="007905B9"/>
    <w:rsid w:val="007A1989"/>
    <w:rsid w:val="007F47CC"/>
    <w:rsid w:val="008D781B"/>
    <w:rsid w:val="0091237C"/>
    <w:rsid w:val="009124DD"/>
    <w:rsid w:val="00927686"/>
    <w:rsid w:val="009623D6"/>
    <w:rsid w:val="00A07BC1"/>
    <w:rsid w:val="00AC53D5"/>
    <w:rsid w:val="00AE3243"/>
    <w:rsid w:val="00B639EC"/>
    <w:rsid w:val="00BE4A5F"/>
    <w:rsid w:val="00CD34B1"/>
    <w:rsid w:val="00D5731A"/>
    <w:rsid w:val="00E23643"/>
    <w:rsid w:val="00EF41D9"/>
    <w:rsid w:val="00F10673"/>
    <w:rsid w:val="00F70673"/>
    <w:rsid w:val="00FF1F0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39471"/>
  <w15:docId w15:val="{40DA9582-496A-4A10-853F-C1C7CA0BC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807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07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807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807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07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807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807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07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07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07B0E"/>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807B0E"/>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807B0E"/>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807B0E"/>
    <w:rPr>
      <w:i/>
      <w:iCs/>
      <w:color w:val="404040" w:themeColor="text1" w:themeTint="BF"/>
    </w:rPr>
  </w:style>
  <w:style w:type="character" w:styleId="IntenseEmphasis">
    <w:name w:val="Intense Emphasis"/>
    <w:basedOn w:val="DefaultParagraphFont"/>
    <w:uiPriority w:val="21"/>
    <w:qFormat/>
    <w:rsid w:val="00807B0E"/>
    <w:rPr>
      <w:i/>
      <w:iCs/>
      <w:color w:val="0F4761" w:themeColor="accent1" w:themeShade="BF"/>
    </w:rPr>
  </w:style>
  <w:style w:type="character" w:customStyle="1" w:styleId="IntenseQuoteChar">
    <w:name w:val="Intense Quote Char"/>
    <w:basedOn w:val="DefaultParagraphFont"/>
    <w:link w:val="IntenseQuote"/>
    <w:uiPriority w:val="30"/>
    <w:qFormat/>
    <w:rsid w:val="00807B0E"/>
    <w:rPr>
      <w:i/>
      <w:iCs/>
      <w:color w:val="0F4761" w:themeColor="accent1" w:themeShade="BF"/>
    </w:rPr>
  </w:style>
  <w:style w:type="character" w:styleId="IntenseReference">
    <w:name w:val="Intense Reference"/>
    <w:basedOn w:val="DefaultParagraphFont"/>
    <w:uiPriority w:val="32"/>
    <w:qFormat/>
    <w:rsid w:val="00807B0E"/>
    <w:rPr>
      <w:b/>
      <w:bCs/>
      <w:smallCaps/>
      <w:color w:val="0F4761" w:themeColor="accent1" w:themeShade="BF"/>
      <w:spacing w:val="5"/>
    </w:rPr>
  </w:style>
  <w:style w:type="character" w:customStyle="1" w:styleId="HeaderChar">
    <w:name w:val="Header Char"/>
    <w:basedOn w:val="DefaultParagraphFont"/>
    <w:link w:val="Header"/>
    <w:uiPriority w:val="99"/>
    <w:qFormat/>
    <w:rsid w:val="008C641F"/>
  </w:style>
  <w:style w:type="character" w:customStyle="1" w:styleId="FooterChar">
    <w:name w:val="Footer Char"/>
    <w:basedOn w:val="DefaultParagraphFont"/>
    <w:link w:val="Footer"/>
    <w:uiPriority w:val="99"/>
    <w:qFormat/>
    <w:rsid w:val="008C641F"/>
  </w:style>
  <w:style w:type="character" w:styleId="Hyperlink">
    <w:name w:val="Hyperlink"/>
    <w:basedOn w:val="DefaultParagraphFont"/>
    <w:uiPriority w:val="99"/>
    <w:unhideWhenUsed/>
    <w:rsid w:val="004436B8"/>
    <w:rPr>
      <w:color w:val="467886" w:themeColor="hyperlink"/>
      <w:u w:val="single"/>
    </w:rPr>
  </w:style>
  <w:style w:type="character" w:styleId="UnresolvedMention">
    <w:name w:val="Unresolved Mention"/>
    <w:basedOn w:val="DefaultParagraphFont"/>
    <w:uiPriority w:val="99"/>
    <w:semiHidden/>
    <w:unhideWhenUsed/>
    <w:qFormat/>
    <w:rsid w:val="004436B8"/>
    <w:rPr>
      <w:color w:val="605E5C"/>
      <w:shd w:val="clear" w:color="auto" w:fill="E1DFDD"/>
    </w:rPr>
  </w:style>
  <w:style w:type="character" w:styleId="FollowedHyperlink">
    <w:name w:val="FollowedHyperlink"/>
    <w:basedOn w:val="DefaultParagraphFont"/>
    <w:uiPriority w:val="99"/>
    <w:semiHidden/>
    <w:unhideWhenUsed/>
    <w:rsid w:val="00254FFE"/>
    <w:rPr>
      <w:color w:val="96607D" w:themeColor="followedHyperlink"/>
      <w:u w:val="single"/>
    </w:rPr>
  </w:style>
  <w:style w:type="character" w:styleId="PlaceholderText">
    <w:name w:val="Placeholder Text"/>
    <w:basedOn w:val="DefaultParagraphFont"/>
    <w:uiPriority w:val="99"/>
    <w:semiHidden/>
    <w:qFormat/>
    <w:rsid w:val="00700432"/>
    <w:rPr>
      <w:color w:val="666666"/>
    </w:rPr>
  </w:style>
  <w:style w:type="character" w:styleId="CommentReference">
    <w:name w:val="annotation reference"/>
    <w:basedOn w:val="DefaultParagraphFont"/>
    <w:uiPriority w:val="99"/>
    <w:semiHidden/>
    <w:unhideWhenUsed/>
    <w:qFormat/>
    <w:rsid w:val="000E7CA2"/>
    <w:rPr>
      <w:sz w:val="16"/>
      <w:szCs w:val="16"/>
    </w:rPr>
  </w:style>
  <w:style w:type="character" w:customStyle="1" w:styleId="CommentTextChar">
    <w:name w:val="Comment Text Char"/>
    <w:basedOn w:val="DefaultParagraphFont"/>
    <w:link w:val="CommentText"/>
    <w:uiPriority w:val="99"/>
    <w:qFormat/>
    <w:rsid w:val="000E7CA2"/>
    <w:rPr>
      <w:sz w:val="20"/>
      <w:szCs w:val="20"/>
    </w:rPr>
  </w:style>
  <w:style w:type="character" w:customStyle="1" w:styleId="CommentSubjectChar">
    <w:name w:val="Comment Subject Char"/>
    <w:basedOn w:val="CommentTextChar"/>
    <w:link w:val="CommentSubject"/>
    <w:uiPriority w:val="99"/>
    <w:semiHidden/>
    <w:qFormat/>
    <w:rsid w:val="000E7CA2"/>
    <w:rPr>
      <w:b/>
      <w:bCs/>
      <w:sz w:val="20"/>
      <w:szCs w:val="20"/>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next w:val="Normal"/>
    <w:uiPriority w:val="35"/>
    <w:unhideWhenUsed/>
    <w:qFormat/>
    <w:rsid w:val="008C641F"/>
    <w:pPr>
      <w:spacing w:after="200" w:line="240" w:lineRule="auto"/>
    </w:pPr>
    <w:rPr>
      <w:i/>
      <w:iCs/>
      <w:color w:val="0E2841" w:themeColor="text2"/>
      <w:sz w:val="18"/>
      <w:szCs w:val="18"/>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807B0E"/>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07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0E"/>
    <w:pPr>
      <w:spacing w:before="160"/>
      <w:jc w:val="center"/>
    </w:pPr>
    <w:rPr>
      <w:i/>
      <w:iCs/>
      <w:color w:val="404040" w:themeColor="text1" w:themeTint="BF"/>
    </w:rPr>
  </w:style>
  <w:style w:type="paragraph" w:styleId="ListParagraph">
    <w:name w:val="List Paragraph"/>
    <w:basedOn w:val="Normal"/>
    <w:uiPriority w:val="34"/>
    <w:qFormat/>
    <w:rsid w:val="00807B0E"/>
    <w:pPr>
      <w:ind w:left="720"/>
      <w:contextualSpacing/>
    </w:pPr>
  </w:style>
  <w:style w:type="paragraph" w:styleId="IntenseQuote">
    <w:name w:val="Intense Quote"/>
    <w:basedOn w:val="Normal"/>
    <w:next w:val="Normal"/>
    <w:link w:val="IntenseQuoteChar"/>
    <w:uiPriority w:val="30"/>
    <w:qFormat/>
    <w:rsid w:val="00807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C641F"/>
    <w:pPr>
      <w:tabs>
        <w:tab w:val="center" w:pos="4680"/>
        <w:tab w:val="right" w:pos="9360"/>
      </w:tabs>
      <w:spacing w:after="0" w:line="240" w:lineRule="auto"/>
    </w:pPr>
  </w:style>
  <w:style w:type="paragraph" w:styleId="Footer">
    <w:name w:val="footer"/>
    <w:basedOn w:val="Normal"/>
    <w:link w:val="FooterChar"/>
    <w:uiPriority w:val="99"/>
    <w:unhideWhenUsed/>
    <w:rsid w:val="008C641F"/>
    <w:pPr>
      <w:tabs>
        <w:tab w:val="center" w:pos="4680"/>
        <w:tab w:val="right" w:pos="9360"/>
      </w:tabs>
      <w:spacing w:after="0" w:line="240" w:lineRule="auto"/>
    </w:pPr>
  </w:style>
  <w:style w:type="paragraph" w:styleId="NormalWeb">
    <w:name w:val="Normal (Web)"/>
    <w:basedOn w:val="Normal"/>
    <w:uiPriority w:val="99"/>
    <w:semiHidden/>
    <w:unhideWhenUsed/>
    <w:qFormat/>
    <w:rsid w:val="000B5F4A"/>
    <w:pPr>
      <w:spacing w:beforeAutospacing="1" w:afterAutospacing="1" w:line="240" w:lineRule="auto"/>
    </w:pPr>
    <w:rPr>
      <w:rFonts w:ascii="Times New Roman" w:eastAsia="Times New Roman" w:hAnsi="Times New Roman" w:cs="Times New Roman"/>
      <w:kern w:val="0"/>
      <w14:ligatures w14:val="none"/>
    </w:rPr>
  </w:style>
  <w:style w:type="paragraph" w:customStyle="1" w:styleId="tablecaption">
    <w:name w:val="table_caption"/>
    <w:basedOn w:val="Normal"/>
    <w:qFormat/>
    <w:rsid w:val="00E57587"/>
    <w:pPr>
      <w:numPr>
        <w:numId w:val="2"/>
      </w:numPr>
      <w:spacing w:before="240" w:after="240" w:line="240" w:lineRule="auto"/>
      <w:jc w:val="center"/>
    </w:pPr>
    <w:rPr>
      <w:rFonts w:ascii="Times New Roman" w:eastAsia="Times New Roman" w:hAnsi="Times New Roman" w:cs="Times New Roman"/>
      <w:kern w:val="0"/>
      <w:sz w:val="18"/>
      <w14:ligatures w14:val="none"/>
    </w:rPr>
  </w:style>
  <w:style w:type="paragraph" w:customStyle="1" w:styleId="textbody">
    <w:name w:val="text_body"/>
    <w:basedOn w:val="Normal"/>
    <w:qFormat/>
    <w:rsid w:val="00FD6B9E"/>
    <w:pPr>
      <w:spacing w:after="0" w:line="240" w:lineRule="auto"/>
      <w:ind w:firstLine="284"/>
      <w:jc w:val="both"/>
    </w:pPr>
    <w:rPr>
      <w:rFonts w:ascii="Times New Roman" w:eastAsia="Times New Roman" w:hAnsi="Times New Roman" w:cs="Times New Roman"/>
      <w:kern w:val="0"/>
      <w:sz w:val="20"/>
      <w14:ligatures w14:val="none"/>
    </w:rPr>
  </w:style>
  <w:style w:type="paragraph" w:styleId="CommentText">
    <w:name w:val="annotation text"/>
    <w:basedOn w:val="Normal"/>
    <w:link w:val="CommentTextChar"/>
    <w:uiPriority w:val="99"/>
    <w:unhideWhenUsed/>
    <w:rsid w:val="000E7CA2"/>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E7CA2"/>
    <w:rPr>
      <w:b/>
      <w:bCs/>
    </w:rPr>
  </w:style>
  <w:style w:type="table" w:styleId="TableGrid">
    <w:name w:val="Table Grid"/>
    <w:basedOn w:val="TableNormal"/>
    <w:uiPriority w:val="39"/>
    <w:rsid w:val="00080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3643"/>
    <w:pPr>
      <w:suppressAutoHyphens w:val="0"/>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1C7F-0932-4410-884A-16051FA0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3639</Words>
  <Characters>20748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Electrical Power System Architecture</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Distribution System Power Characteristics</dc:title>
  <dc:subject/>
  <dc:creator>Norbert Doerry</dc:creator>
  <dc:description/>
  <cp:lastModifiedBy>Norbert Doerry</cp:lastModifiedBy>
  <cp:revision>2</cp:revision>
  <cp:lastPrinted>2026-08-23T12:32:00Z</cp:lastPrinted>
  <dcterms:created xsi:type="dcterms:W3CDTF">2026-09-23T17:22:00Z</dcterms:created>
  <dcterms:modified xsi:type="dcterms:W3CDTF">2026-09-23T17:22:00Z</dcterms:modified>
  <dc:language>en-US</dc:language>
</cp:coreProperties>
</file>